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C28CE" w14:textId="762226FF" w:rsidR="00253113" w:rsidRPr="00751151" w:rsidRDefault="005F47B3" w:rsidP="006D375F">
      <w:pPr>
        <w:spacing w:after="0" w:line="240" w:lineRule="auto"/>
        <w:jc w:val="center"/>
        <w:rPr>
          <w:b/>
          <w:sz w:val="32"/>
          <w:szCs w:val="32"/>
        </w:rPr>
      </w:pPr>
      <w:r w:rsidRPr="00751151">
        <w:rPr>
          <w:b/>
          <w:sz w:val="32"/>
          <w:szCs w:val="32"/>
        </w:rPr>
        <w:t>MODIFICACION O</w:t>
      </w:r>
      <w:r w:rsidR="006D375F" w:rsidRPr="00751151">
        <w:rPr>
          <w:b/>
          <w:sz w:val="32"/>
          <w:szCs w:val="32"/>
        </w:rPr>
        <w:t>RDENANZA GENERAL DE URBANISMO Y CONSTRUCCIONES</w:t>
      </w:r>
    </w:p>
    <w:p w14:paraId="548625DA" w14:textId="79020308" w:rsidR="005F47B3" w:rsidRPr="00751151" w:rsidRDefault="00DD443E" w:rsidP="006D375F">
      <w:pPr>
        <w:spacing w:before="120" w:after="0" w:line="240" w:lineRule="auto"/>
        <w:jc w:val="center"/>
        <w:rPr>
          <w:b/>
          <w:sz w:val="32"/>
          <w:szCs w:val="32"/>
        </w:rPr>
      </w:pPr>
      <w:r>
        <w:rPr>
          <w:b/>
          <w:sz w:val="32"/>
          <w:szCs w:val="32"/>
        </w:rPr>
        <w:t xml:space="preserve">TÍTULO VI - </w:t>
      </w:r>
      <w:r w:rsidR="00253113" w:rsidRPr="00751151">
        <w:rPr>
          <w:b/>
          <w:sz w:val="32"/>
          <w:szCs w:val="32"/>
        </w:rPr>
        <w:t xml:space="preserve">DECRETO </w:t>
      </w:r>
      <w:r w:rsidR="0098381E" w:rsidRPr="00751151">
        <w:rPr>
          <w:b/>
          <w:sz w:val="32"/>
          <w:szCs w:val="32"/>
        </w:rPr>
        <w:t>INTEGRACIÓN SOCIAL</w:t>
      </w:r>
    </w:p>
    <w:p w14:paraId="56CB5134" w14:textId="77777777" w:rsidR="006D375F" w:rsidRPr="00751151" w:rsidRDefault="006D375F" w:rsidP="006D375F">
      <w:pPr>
        <w:spacing w:after="0" w:line="240" w:lineRule="auto"/>
        <w:jc w:val="center"/>
        <w:rPr>
          <w:b/>
          <w:sz w:val="24"/>
          <w:szCs w:val="24"/>
        </w:rPr>
      </w:pPr>
    </w:p>
    <w:tbl>
      <w:tblPr>
        <w:tblStyle w:val="Tablaconcuadrcula"/>
        <w:tblW w:w="13653" w:type="dxa"/>
        <w:tblInd w:w="-431" w:type="dxa"/>
        <w:tblLook w:val="04A0" w:firstRow="1" w:lastRow="0" w:firstColumn="1" w:lastColumn="0" w:noHBand="0" w:noVBand="1"/>
      </w:tblPr>
      <w:tblGrid>
        <w:gridCol w:w="4858"/>
        <w:gridCol w:w="4858"/>
        <w:gridCol w:w="3937"/>
      </w:tblGrid>
      <w:tr w:rsidR="00CF0B54" w:rsidRPr="00751151" w14:paraId="052788D7" w14:textId="3A9D07DB" w:rsidTr="00CF0B54">
        <w:trPr>
          <w:trHeight w:val="633"/>
        </w:trPr>
        <w:tc>
          <w:tcPr>
            <w:tcW w:w="4858" w:type="dxa"/>
            <w:shd w:val="clear" w:color="auto" w:fill="0070C0"/>
            <w:vAlign w:val="center"/>
          </w:tcPr>
          <w:p w14:paraId="3C97F8D9" w14:textId="77777777" w:rsidR="00CF0B54" w:rsidRPr="00751151" w:rsidRDefault="00CF0B54" w:rsidP="005F47B3">
            <w:pPr>
              <w:jc w:val="center"/>
              <w:rPr>
                <w:b/>
                <w:color w:val="FFFFFF" w:themeColor="background1"/>
                <w:sz w:val="24"/>
                <w:szCs w:val="24"/>
              </w:rPr>
            </w:pPr>
            <w:r w:rsidRPr="00751151">
              <w:rPr>
                <w:b/>
                <w:color w:val="FFFFFF" w:themeColor="background1"/>
                <w:sz w:val="24"/>
                <w:szCs w:val="24"/>
              </w:rPr>
              <w:t>NORMA VIGENTE</w:t>
            </w:r>
          </w:p>
        </w:tc>
        <w:tc>
          <w:tcPr>
            <w:tcW w:w="4858" w:type="dxa"/>
            <w:shd w:val="clear" w:color="auto" w:fill="0070C0"/>
            <w:vAlign w:val="center"/>
          </w:tcPr>
          <w:p w14:paraId="2D327E64" w14:textId="77777777" w:rsidR="00CF0B54" w:rsidRPr="00751151" w:rsidRDefault="00CF0B54" w:rsidP="005F47B3">
            <w:pPr>
              <w:jc w:val="center"/>
              <w:rPr>
                <w:b/>
                <w:color w:val="FFFFFF" w:themeColor="background1"/>
                <w:sz w:val="24"/>
                <w:szCs w:val="24"/>
              </w:rPr>
            </w:pPr>
            <w:r w:rsidRPr="00751151">
              <w:rPr>
                <w:b/>
                <w:color w:val="FFFFFF" w:themeColor="background1"/>
                <w:sz w:val="24"/>
                <w:szCs w:val="24"/>
              </w:rPr>
              <w:t>NORMA PROPUESTA</w:t>
            </w:r>
          </w:p>
        </w:tc>
        <w:tc>
          <w:tcPr>
            <w:tcW w:w="3937" w:type="dxa"/>
            <w:shd w:val="clear" w:color="auto" w:fill="0070C0"/>
            <w:vAlign w:val="center"/>
          </w:tcPr>
          <w:p w14:paraId="35432BFC" w14:textId="0B28D27F" w:rsidR="00CF0B54" w:rsidRPr="00751151" w:rsidRDefault="00CF0B54" w:rsidP="00CF0B54">
            <w:pPr>
              <w:jc w:val="center"/>
              <w:rPr>
                <w:b/>
                <w:color w:val="FFFFFF" w:themeColor="background1"/>
                <w:sz w:val="24"/>
                <w:szCs w:val="24"/>
              </w:rPr>
            </w:pPr>
            <w:r>
              <w:rPr>
                <w:b/>
                <w:color w:val="FFFFFF" w:themeColor="background1"/>
                <w:sz w:val="24"/>
                <w:szCs w:val="24"/>
              </w:rPr>
              <w:t>OBSERVACIONES</w:t>
            </w:r>
          </w:p>
        </w:tc>
      </w:tr>
      <w:tr w:rsidR="00CF0B54" w:rsidRPr="00751151" w14:paraId="1D225D2A" w14:textId="6CFB2AB3" w:rsidTr="00CF0B54">
        <w:trPr>
          <w:trHeight w:val="907"/>
        </w:trPr>
        <w:tc>
          <w:tcPr>
            <w:tcW w:w="4858" w:type="dxa"/>
            <w:shd w:val="clear" w:color="auto" w:fill="FFFFFF" w:themeFill="background1"/>
          </w:tcPr>
          <w:p w14:paraId="56CD5878" w14:textId="77777777" w:rsidR="00CF0B54" w:rsidRDefault="00CF0B54" w:rsidP="00550613">
            <w:pPr>
              <w:autoSpaceDE w:val="0"/>
              <w:autoSpaceDN w:val="0"/>
              <w:adjustRightInd w:val="0"/>
              <w:rPr>
                <w:rFonts w:cs="Arial"/>
                <w:b/>
                <w:bCs/>
                <w:sz w:val="24"/>
                <w:szCs w:val="24"/>
              </w:rPr>
            </w:pPr>
          </w:p>
          <w:p w14:paraId="7C3F2784" w14:textId="10C2C288" w:rsidR="00CF0B54" w:rsidRPr="00751151" w:rsidRDefault="00CF0B54" w:rsidP="00550613">
            <w:pPr>
              <w:autoSpaceDE w:val="0"/>
              <w:autoSpaceDN w:val="0"/>
              <w:adjustRightInd w:val="0"/>
              <w:rPr>
                <w:rFonts w:cs="Arial"/>
                <w:b/>
                <w:bCs/>
                <w:sz w:val="24"/>
                <w:szCs w:val="24"/>
              </w:rPr>
            </w:pPr>
            <w:r w:rsidRPr="00751151">
              <w:rPr>
                <w:rFonts w:cs="Arial"/>
                <w:b/>
                <w:bCs/>
                <w:sz w:val="24"/>
                <w:szCs w:val="24"/>
              </w:rPr>
              <w:t>Artículo 6.1.</w:t>
            </w:r>
            <w:r>
              <w:rPr>
                <w:rFonts w:cs="Arial"/>
                <w:b/>
                <w:bCs/>
                <w:sz w:val="24"/>
                <w:szCs w:val="24"/>
              </w:rPr>
              <w:t>2</w:t>
            </w:r>
            <w:r w:rsidRPr="00751151">
              <w:rPr>
                <w:rFonts w:cs="Arial"/>
                <w:b/>
                <w:bCs/>
                <w:sz w:val="24"/>
                <w:szCs w:val="24"/>
              </w:rPr>
              <w:t>.</w:t>
            </w:r>
          </w:p>
          <w:p w14:paraId="1DDBEB5E" w14:textId="77777777" w:rsidR="00CF0B54" w:rsidRDefault="00CF0B54" w:rsidP="00550613">
            <w:pPr>
              <w:autoSpaceDE w:val="0"/>
              <w:autoSpaceDN w:val="0"/>
              <w:adjustRightInd w:val="0"/>
              <w:rPr>
                <w:rFonts w:cs="Arial"/>
                <w:bCs/>
                <w:sz w:val="24"/>
                <w:szCs w:val="24"/>
              </w:rPr>
            </w:pPr>
          </w:p>
          <w:p w14:paraId="18E124BB" w14:textId="1AADA391" w:rsidR="00CF0B54" w:rsidRPr="00751151" w:rsidRDefault="00CF0B54" w:rsidP="00550613">
            <w:pPr>
              <w:autoSpaceDE w:val="0"/>
              <w:autoSpaceDN w:val="0"/>
              <w:adjustRightInd w:val="0"/>
              <w:rPr>
                <w:rFonts w:cs="Arial"/>
                <w:sz w:val="24"/>
                <w:szCs w:val="24"/>
              </w:rPr>
            </w:pPr>
            <w:r w:rsidRPr="00751151">
              <w:rPr>
                <w:rFonts w:cs="Arial"/>
                <w:sz w:val="24"/>
                <w:szCs w:val="24"/>
              </w:rPr>
              <w:t>Para los efectos del presente Título se entiende por:</w:t>
            </w:r>
          </w:p>
          <w:p w14:paraId="104ADA86" w14:textId="77777777" w:rsidR="00CF0B54" w:rsidRDefault="00CF0B54" w:rsidP="00550613">
            <w:pPr>
              <w:autoSpaceDE w:val="0"/>
              <w:autoSpaceDN w:val="0"/>
              <w:adjustRightInd w:val="0"/>
              <w:rPr>
                <w:rFonts w:cs="Arial"/>
                <w:sz w:val="24"/>
                <w:szCs w:val="24"/>
              </w:rPr>
            </w:pPr>
          </w:p>
          <w:p w14:paraId="177F6501" w14:textId="77777777" w:rsidR="00CF0B54" w:rsidRDefault="00CF0B54" w:rsidP="00550613">
            <w:pPr>
              <w:autoSpaceDE w:val="0"/>
              <w:autoSpaceDN w:val="0"/>
              <w:adjustRightInd w:val="0"/>
              <w:rPr>
                <w:rFonts w:cs="Arial"/>
                <w:sz w:val="24"/>
                <w:szCs w:val="24"/>
              </w:rPr>
            </w:pPr>
          </w:p>
          <w:p w14:paraId="0D52A332" w14:textId="77777777" w:rsidR="00CF0B54" w:rsidRDefault="00CF0B54" w:rsidP="00550613">
            <w:pPr>
              <w:autoSpaceDE w:val="0"/>
              <w:autoSpaceDN w:val="0"/>
              <w:adjustRightInd w:val="0"/>
              <w:rPr>
                <w:rFonts w:cs="Arial"/>
                <w:sz w:val="24"/>
                <w:szCs w:val="24"/>
              </w:rPr>
            </w:pPr>
          </w:p>
          <w:p w14:paraId="364B61BF" w14:textId="77777777" w:rsidR="00CF0B54" w:rsidRDefault="00CF0B54" w:rsidP="00550613">
            <w:pPr>
              <w:autoSpaceDE w:val="0"/>
              <w:autoSpaceDN w:val="0"/>
              <w:adjustRightInd w:val="0"/>
              <w:rPr>
                <w:rFonts w:cs="Arial"/>
                <w:sz w:val="24"/>
                <w:szCs w:val="24"/>
              </w:rPr>
            </w:pPr>
          </w:p>
          <w:p w14:paraId="04F1B927" w14:textId="77777777" w:rsidR="00CF0B54" w:rsidRDefault="00CF0B54" w:rsidP="00550613">
            <w:pPr>
              <w:autoSpaceDE w:val="0"/>
              <w:autoSpaceDN w:val="0"/>
              <w:adjustRightInd w:val="0"/>
              <w:rPr>
                <w:rFonts w:cs="Arial"/>
                <w:sz w:val="24"/>
                <w:szCs w:val="24"/>
              </w:rPr>
            </w:pPr>
          </w:p>
          <w:p w14:paraId="4858BBB3" w14:textId="77777777" w:rsidR="00CF0B54" w:rsidRDefault="00CF0B54" w:rsidP="00550613">
            <w:pPr>
              <w:autoSpaceDE w:val="0"/>
              <w:autoSpaceDN w:val="0"/>
              <w:adjustRightInd w:val="0"/>
              <w:rPr>
                <w:rFonts w:cs="Arial"/>
                <w:sz w:val="24"/>
                <w:szCs w:val="24"/>
              </w:rPr>
            </w:pPr>
          </w:p>
          <w:p w14:paraId="0F259427" w14:textId="77777777" w:rsidR="00CF0B54" w:rsidRDefault="00CF0B54" w:rsidP="00550613">
            <w:pPr>
              <w:autoSpaceDE w:val="0"/>
              <w:autoSpaceDN w:val="0"/>
              <w:adjustRightInd w:val="0"/>
              <w:rPr>
                <w:rFonts w:cs="Arial"/>
                <w:sz w:val="24"/>
                <w:szCs w:val="24"/>
              </w:rPr>
            </w:pPr>
          </w:p>
          <w:p w14:paraId="38200EAE" w14:textId="77777777" w:rsidR="00CF0B54" w:rsidRDefault="00CF0B54" w:rsidP="00550613">
            <w:pPr>
              <w:autoSpaceDE w:val="0"/>
              <w:autoSpaceDN w:val="0"/>
              <w:adjustRightInd w:val="0"/>
              <w:rPr>
                <w:rFonts w:cs="Arial"/>
                <w:sz w:val="24"/>
                <w:szCs w:val="24"/>
              </w:rPr>
            </w:pPr>
          </w:p>
          <w:p w14:paraId="40DFFA0F" w14:textId="77777777" w:rsidR="00CF0B54" w:rsidRDefault="00CF0B54" w:rsidP="00550613">
            <w:pPr>
              <w:autoSpaceDE w:val="0"/>
              <w:autoSpaceDN w:val="0"/>
              <w:adjustRightInd w:val="0"/>
              <w:rPr>
                <w:rFonts w:cs="Arial"/>
                <w:sz w:val="24"/>
                <w:szCs w:val="24"/>
              </w:rPr>
            </w:pPr>
          </w:p>
          <w:p w14:paraId="6B88EAE9" w14:textId="77777777" w:rsidR="00CF0B54" w:rsidRDefault="00CF0B54" w:rsidP="00550613">
            <w:pPr>
              <w:autoSpaceDE w:val="0"/>
              <w:autoSpaceDN w:val="0"/>
              <w:adjustRightInd w:val="0"/>
              <w:rPr>
                <w:rFonts w:cs="Arial"/>
                <w:sz w:val="24"/>
                <w:szCs w:val="24"/>
              </w:rPr>
            </w:pPr>
          </w:p>
          <w:p w14:paraId="5DBE0DFA" w14:textId="6EE9F4BF" w:rsidR="00CF0B54" w:rsidRDefault="00CF0B54" w:rsidP="00550613">
            <w:pPr>
              <w:autoSpaceDE w:val="0"/>
              <w:autoSpaceDN w:val="0"/>
              <w:adjustRightInd w:val="0"/>
              <w:rPr>
                <w:rFonts w:cs="Arial"/>
                <w:sz w:val="24"/>
                <w:szCs w:val="24"/>
              </w:rPr>
            </w:pPr>
            <w:r w:rsidRPr="00AC242E">
              <w:rPr>
                <w:rFonts w:cs="Arial"/>
                <w:b/>
                <w:sz w:val="24"/>
                <w:szCs w:val="24"/>
              </w:rPr>
              <w:t>Vivienda económica</w:t>
            </w:r>
            <w:r>
              <w:rPr>
                <w:rFonts w:cs="Arial"/>
                <w:sz w:val="24"/>
                <w:szCs w:val="24"/>
              </w:rPr>
              <w:t>:</w:t>
            </w:r>
            <w:r>
              <w:rPr>
                <w:rFonts w:cs="Arial"/>
                <w:sz w:val="24"/>
                <w:szCs w:val="24"/>
              </w:rPr>
              <w:tab/>
            </w:r>
            <w:r>
              <w:rPr>
                <w:rFonts w:cs="Arial"/>
                <w:sz w:val="24"/>
                <w:szCs w:val="24"/>
              </w:rPr>
              <w:tab/>
              <w:t>……</w:t>
            </w:r>
          </w:p>
          <w:p w14:paraId="2109BA03" w14:textId="205F4743" w:rsidR="00CF0B54" w:rsidRDefault="00CF0B54" w:rsidP="00550613">
            <w:pPr>
              <w:autoSpaceDE w:val="0"/>
              <w:autoSpaceDN w:val="0"/>
              <w:adjustRightInd w:val="0"/>
              <w:spacing w:before="120"/>
              <w:rPr>
                <w:rFonts w:cs="Arial"/>
                <w:sz w:val="24"/>
                <w:szCs w:val="24"/>
              </w:rPr>
            </w:pPr>
            <w:r w:rsidRPr="00AC242E">
              <w:rPr>
                <w:rFonts w:cs="Arial"/>
                <w:b/>
                <w:sz w:val="24"/>
                <w:szCs w:val="24"/>
              </w:rPr>
              <w:t>Vivienda social</w:t>
            </w:r>
            <w:r>
              <w:rPr>
                <w:rFonts w:cs="Arial"/>
                <w:sz w:val="24"/>
                <w:szCs w:val="24"/>
              </w:rPr>
              <w:t>:</w:t>
            </w:r>
            <w:r>
              <w:rPr>
                <w:rFonts w:cs="Arial"/>
                <w:sz w:val="24"/>
                <w:szCs w:val="24"/>
              </w:rPr>
              <w:tab/>
            </w:r>
            <w:r>
              <w:rPr>
                <w:rFonts w:cs="Arial"/>
                <w:sz w:val="24"/>
                <w:szCs w:val="24"/>
              </w:rPr>
              <w:tab/>
              <w:t>……</w:t>
            </w:r>
          </w:p>
          <w:p w14:paraId="0BB0BBC2" w14:textId="023DA332" w:rsidR="00CF0B54" w:rsidRPr="00751151" w:rsidRDefault="00CF0B54" w:rsidP="00550613">
            <w:pPr>
              <w:autoSpaceDE w:val="0"/>
              <w:autoSpaceDN w:val="0"/>
              <w:adjustRightInd w:val="0"/>
              <w:spacing w:before="120"/>
              <w:rPr>
                <w:rFonts w:cs="Arial"/>
                <w:sz w:val="24"/>
                <w:szCs w:val="24"/>
              </w:rPr>
            </w:pPr>
            <w:r w:rsidRPr="00AC242E">
              <w:rPr>
                <w:rFonts w:cs="Arial"/>
                <w:b/>
                <w:sz w:val="24"/>
                <w:szCs w:val="24"/>
              </w:rPr>
              <w:t>Vivienda progresiva</w:t>
            </w:r>
            <w:r>
              <w:rPr>
                <w:rFonts w:cs="Arial"/>
                <w:sz w:val="24"/>
                <w:szCs w:val="24"/>
              </w:rPr>
              <w:t>:</w:t>
            </w:r>
            <w:r>
              <w:rPr>
                <w:rFonts w:cs="Arial"/>
                <w:sz w:val="24"/>
                <w:szCs w:val="24"/>
              </w:rPr>
              <w:tab/>
            </w:r>
            <w:r>
              <w:rPr>
                <w:rFonts w:cs="Arial"/>
                <w:sz w:val="24"/>
                <w:szCs w:val="24"/>
              </w:rPr>
              <w:tab/>
              <w:t>……</w:t>
            </w:r>
          </w:p>
          <w:p w14:paraId="5F4232DF" w14:textId="513BA9B8" w:rsidR="00CF0B54" w:rsidRPr="00751151" w:rsidRDefault="00CF0B54" w:rsidP="00550613">
            <w:pPr>
              <w:autoSpaceDE w:val="0"/>
              <w:autoSpaceDN w:val="0"/>
              <w:adjustRightInd w:val="0"/>
              <w:spacing w:before="120"/>
              <w:rPr>
                <w:rFonts w:cs="Arial"/>
                <w:sz w:val="24"/>
                <w:szCs w:val="24"/>
              </w:rPr>
            </w:pPr>
            <w:r>
              <w:rPr>
                <w:rFonts w:cs="Arial"/>
                <w:b/>
                <w:sz w:val="24"/>
                <w:szCs w:val="24"/>
              </w:rPr>
              <w:t>Infraestructura sanitaria</w:t>
            </w:r>
            <w:r>
              <w:rPr>
                <w:rFonts w:cs="Arial"/>
                <w:sz w:val="24"/>
                <w:szCs w:val="24"/>
              </w:rPr>
              <w:t>:</w:t>
            </w:r>
            <w:r>
              <w:rPr>
                <w:rFonts w:cs="Arial"/>
                <w:sz w:val="24"/>
                <w:szCs w:val="24"/>
              </w:rPr>
              <w:tab/>
              <w:t>……</w:t>
            </w:r>
          </w:p>
          <w:p w14:paraId="22AE1030" w14:textId="77777777" w:rsidR="00CF0B54" w:rsidRDefault="00CF0B54" w:rsidP="00550613">
            <w:pPr>
              <w:autoSpaceDE w:val="0"/>
              <w:autoSpaceDN w:val="0"/>
              <w:adjustRightInd w:val="0"/>
              <w:rPr>
                <w:rFonts w:cs="Arial"/>
                <w:sz w:val="24"/>
                <w:szCs w:val="24"/>
              </w:rPr>
            </w:pPr>
          </w:p>
          <w:p w14:paraId="0B77DE6F" w14:textId="77777777" w:rsidR="00CF0B54" w:rsidRDefault="00CF0B54" w:rsidP="00550613">
            <w:pPr>
              <w:autoSpaceDE w:val="0"/>
              <w:autoSpaceDN w:val="0"/>
              <w:adjustRightInd w:val="0"/>
              <w:rPr>
                <w:rFonts w:cs="Arial"/>
                <w:sz w:val="24"/>
                <w:szCs w:val="24"/>
              </w:rPr>
            </w:pPr>
          </w:p>
          <w:p w14:paraId="109CF8CE" w14:textId="77777777" w:rsidR="00CF0B54" w:rsidRDefault="00CF0B54" w:rsidP="00550613">
            <w:pPr>
              <w:autoSpaceDE w:val="0"/>
              <w:autoSpaceDN w:val="0"/>
              <w:adjustRightInd w:val="0"/>
              <w:rPr>
                <w:rFonts w:cs="Arial"/>
                <w:sz w:val="24"/>
                <w:szCs w:val="24"/>
              </w:rPr>
            </w:pPr>
          </w:p>
          <w:p w14:paraId="7FAA084E" w14:textId="77777777" w:rsidR="00CF0B54" w:rsidRDefault="00CF0B54" w:rsidP="00550613">
            <w:pPr>
              <w:autoSpaceDE w:val="0"/>
              <w:autoSpaceDN w:val="0"/>
              <w:adjustRightInd w:val="0"/>
              <w:rPr>
                <w:rFonts w:cs="Arial"/>
                <w:sz w:val="24"/>
                <w:szCs w:val="24"/>
              </w:rPr>
            </w:pPr>
          </w:p>
          <w:p w14:paraId="6AEF0E34" w14:textId="77777777" w:rsidR="00CF0B54" w:rsidRDefault="00CF0B54" w:rsidP="00550613">
            <w:pPr>
              <w:autoSpaceDE w:val="0"/>
              <w:autoSpaceDN w:val="0"/>
              <w:adjustRightInd w:val="0"/>
              <w:rPr>
                <w:rFonts w:cs="Arial"/>
                <w:sz w:val="24"/>
                <w:szCs w:val="24"/>
              </w:rPr>
            </w:pPr>
          </w:p>
          <w:p w14:paraId="07D0DEED" w14:textId="77777777" w:rsidR="00CF0B54" w:rsidRPr="00751151" w:rsidRDefault="00CF0B54" w:rsidP="00550613">
            <w:pPr>
              <w:autoSpaceDE w:val="0"/>
              <w:autoSpaceDN w:val="0"/>
              <w:adjustRightInd w:val="0"/>
              <w:rPr>
                <w:rFonts w:cs="Arial"/>
                <w:bCs/>
                <w:sz w:val="24"/>
                <w:szCs w:val="24"/>
              </w:rPr>
            </w:pPr>
          </w:p>
        </w:tc>
        <w:tc>
          <w:tcPr>
            <w:tcW w:w="4858" w:type="dxa"/>
            <w:shd w:val="clear" w:color="auto" w:fill="FFFFFF" w:themeFill="background1"/>
          </w:tcPr>
          <w:p w14:paraId="23BFB3B6" w14:textId="77777777" w:rsidR="00CF0B54" w:rsidRDefault="00CF0B54" w:rsidP="00550613">
            <w:pPr>
              <w:autoSpaceDE w:val="0"/>
              <w:autoSpaceDN w:val="0"/>
              <w:adjustRightInd w:val="0"/>
              <w:rPr>
                <w:rFonts w:cs="Arial"/>
                <w:b/>
                <w:bCs/>
                <w:sz w:val="24"/>
                <w:szCs w:val="24"/>
              </w:rPr>
            </w:pPr>
          </w:p>
          <w:p w14:paraId="747A10C1" w14:textId="77777777" w:rsidR="00CF0B54" w:rsidRPr="00751151" w:rsidRDefault="00CF0B54" w:rsidP="00550613">
            <w:pPr>
              <w:autoSpaceDE w:val="0"/>
              <w:autoSpaceDN w:val="0"/>
              <w:adjustRightInd w:val="0"/>
              <w:rPr>
                <w:rFonts w:cs="Arial"/>
                <w:b/>
                <w:bCs/>
                <w:sz w:val="24"/>
                <w:szCs w:val="24"/>
              </w:rPr>
            </w:pPr>
            <w:r w:rsidRPr="00751151">
              <w:rPr>
                <w:rFonts w:cs="Arial"/>
                <w:b/>
                <w:bCs/>
                <w:sz w:val="24"/>
                <w:szCs w:val="24"/>
              </w:rPr>
              <w:t>Artículo 6.1.</w:t>
            </w:r>
            <w:r>
              <w:rPr>
                <w:rFonts w:cs="Arial"/>
                <w:b/>
                <w:bCs/>
                <w:sz w:val="24"/>
                <w:szCs w:val="24"/>
              </w:rPr>
              <w:t>2</w:t>
            </w:r>
            <w:r w:rsidRPr="00751151">
              <w:rPr>
                <w:rFonts w:cs="Arial"/>
                <w:b/>
                <w:bCs/>
                <w:sz w:val="24"/>
                <w:szCs w:val="24"/>
              </w:rPr>
              <w:t>.</w:t>
            </w:r>
          </w:p>
          <w:p w14:paraId="09E1BC3F" w14:textId="77777777" w:rsidR="00CF0B54" w:rsidRDefault="00CF0B54" w:rsidP="00550613">
            <w:pPr>
              <w:autoSpaceDE w:val="0"/>
              <w:autoSpaceDN w:val="0"/>
              <w:adjustRightInd w:val="0"/>
              <w:rPr>
                <w:rFonts w:cs="Arial"/>
                <w:bCs/>
                <w:sz w:val="24"/>
                <w:szCs w:val="24"/>
              </w:rPr>
            </w:pPr>
          </w:p>
          <w:p w14:paraId="33FF6161" w14:textId="77777777" w:rsidR="00CF0B54" w:rsidRPr="00751151" w:rsidRDefault="00CF0B54" w:rsidP="00550613">
            <w:pPr>
              <w:autoSpaceDE w:val="0"/>
              <w:autoSpaceDN w:val="0"/>
              <w:adjustRightInd w:val="0"/>
              <w:rPr>
                <w:rFonts w:cs="Arial"/>
                <w:sz w:val="24"/>
                <w:szCs w:val="24"/>
              </w:rPr>
            </w:pPr>
            <w:r w:rsidRPr="00751151">
              <w:rPr>
                <w:rFonts w:cs="Arial"/>
                <w:sz w:val="24"/>
                <w:szCs w:val="24"/>
              </w:rPr>
              <w:t>Para los efectos del presente Título se entiende por:</w:t>
            </w:r>
          </w:p>
          <w:p w14:paraId="67478B52" w14:textId="77777777" w:rsidR="00CF0B54" w:rsidRDefault="00CF0B54" w:rsidP="00550613">
            <w:pPr>
              <w:autoSpaceDE w:val="0"/>
              <w:autoSpaceDN w:val="0"/>
              <w:adjustRightInd w:val="0"/>
              <w:rPr>
                <w:rFonts w:cs="Arial"/>
                <w:b/>
                <w:bCs/>
                <w:sz w:val="24"/>
                <w:szCs w:val="24"/>
              </w:rPr>
            </w:pPr>
          </w:p>
          <w:p w14:paraId="43C90A68" w14:textId="77777777" w:rsidR="00CF0B54" w:rsidRDefault="00CF0B54" w:rsidP="00550613">
            <w:pPr>
              <w:tabs>
                <w:tab w:val="left" w:pos="856"/>
                <w:tab w:val="left" w:pos="1843"/>
              </w:tabs>
              <w:ind w:left="289" w:right="147"/>
              <w:rPr>
                <w:rFonts w:ascii="Verdana" w:eastAsia="Times New Roman" w:hAnsi="Verdana" w:cs="Arial"/>
                <w:spacing w:val="6"/>
                <w:sz w:val="20"/>
                <w:szCs w:val="20"/>
                <w:lang w:eastAsia="es-ES"/>
              </w:rPr>
            </w:pPr>
            <w:r w:rsidRPr="00550613">
              <w:rPr>
                <w:rFonts w:ascii="Verdana" w:eastAsia="Times New Roman" w:hAnsi="Verdana" w:cs="Arial"/>
                <w:b/>
                <w:spacing w:val="6"/>
                <w:sz w:val="20"/>
                <w:szCs w:val="20"/>
                <w:highlight w:val="yellow"/>
                <w:lang w:eastAsia="es-ES"/>
              </w:rPr>
              <w:t>Proyecto de viviendas integradas:</w:t>
            </w:r>
            <w:r w:rsidRPr="00550613">
              <w:rPr>
                <w:rFonts w:ascii="Verdana" w:eastAsia="Times New Roman" w:hAnsi="Verdana" w:cs="Arial"/>
                <w:spacing w:val="6"/>
                <w:sz w:val="20"/>
                <w:szCs w:val="20"/>
                <w:highlight w:val="yellow"/>
                <w:lang w:eastAsia="es-ES"/>
              </w:rPr>
              <w:t xml:space="preserve"> Aquel proyecto residencial, emplazado en “Zonas de Integración Urbana”, que induce o colabora a mejorar los niveles de integración social urbana por mezclar unidades de vivienda destinadas a distintos grupos socioeconómicos y cumplir con las demás exigencias que señala este reglamento.</w:t>
            </w:r>
          </w:p>
          <w:p w14:paraId="453134D6" w14:textId="77777777" w:rsidR="00CF0B54" w:rsidRDefault="00CF0B54" w:rsidP="00550613">
            <w:pPr>
              <w:tabs>
                <w:tab w:val="left" w:pos="856"/>
                <w:tab w:val="left" w:pos="1843"/>
              </w:tabs>
              <w:ind w:left="289" w:right="147"/>
              <w:rPr>
                <w:rFonts w:ascii="Verdana" w:eastAsia="Times New Roman" w:hAnsi="Verdana" w:cs="Arial"/>
                <w:spacing w:val="6"/>
                <w:sz w:val="20"/>
                <w:szCs w:val="20"/>
                <w:highlight w:val="yellow"/>
                <w:lang w:eastAsia="es-ES"/>
              </w:rPr>
            </w:pPr>
          </w:p>
          <w:p w14:paraId="31CAFA3F" w14:textId="77777777" w:rsidR="00CF0B54" w:rsidRDefault="00CF0B54" w:rsidP="00550613">
            <w:pPr>
              <w:tabs>
                <w:tab w:val="left" w:pos="856"/>
              </w:tabs>
              <w:autoSpaceDE w:val="0"/>
              <w:autoSpaceDN w:val="0"/>
              <w:adjustRightInd w:val="0"/>
              <w:ind w:left="289" w:right="147"/>
              <w:rPr>
                <w:rFonts w:cs="Arial"/>
                <w:sz w:val="24"/>
                <w:szCs w:val="24"/>
              </w:rPr>
            </w:pPr>
            <w:r w:rsidRPr="00AC242E">
              <w:rPr>
                <w:rFonts w:cs="Arial"/>
                <w:b/>
                <w:sz w:val="24"/>
                <w:szCs w:val="24"/>
              </w:rPr>
              <w:t>Vivienda económica</w:t>
            </w:r>
            <w:r>
              <w:rPr>
                <w:rFonts w:cs="Arial"/>
                <w:sz w:val="24"/>
                <w:szCs w:val="24"/>
              </w:rPr>
              <w:t>:</w:t>
            </w:r>
            <w:r>
              <w:rPr>
                <w:rFonts w:cs="Arial"/>
                <w:sz w:val="24"/>
                <w:szCs w:val="24"/>
              </w:rPr>
              <w:tab/>
            </w:r>
            <w:r>
              <w:rPr>
                <w:rFonts w:cs="Arial"/>
                <w:sz w:val="24"/>
                <w:szCs w:val="24"/>
              </w:rPr>
              <w:tab/>
              <w:t>……</w:t>
            </w:r>
          </w:p>
          <w:p w14:paraId="52EF063F" w14:textId="3E9DB428" w:rsidR="00CF0B54" w:rsidRDefault="00CF0B54" w:rsidP="00550613">
            <w:pPr>
              <w:tabs>
                <w:tab w:val="left" w:pos="856"/>
              </w:tabs>
              <w:autoSpaceDE w:val="0"/>
              <w:autoSpaceDN w:val="0"/>
              <w:adjustRightInd w:val="0"/>
              <w:spacing w:before="120"/>
              <w:ind w:left="289" w:right="147"/>
              <w:rPr>
                <w:rFonts w:cs="Arial"/>
                <w:sz w:val="24"/>
                <w:szCs w:val="24"/>
              </w:rPr>
            </w:pPr>
            <w:r w:rsidRPr="00AC242E">
              <w:rPr>
                <w:rFonts w:cs="Arial"/>
                <w:b/>
                <w:sz w:val="24"/>
                <w:szCs w:val="24"/>
              </w:rPr>
              <w:t>Vivienda social</w:t>
            </w:r>
            <w:r>
              <w:rPr>
                <w:rFonts w:cs="Arial"/>
                <w:sz w:val="24"/>
                <w:szCs w:val="24"/>
              </w:rPr>
              <w:t>:</w:t>
            </w:r>
            <w:r>
              <w:rPr>
                <w:rFonts w:cs="Arial"/>
                <w:sz w:val="24"/>
                <w:szCs w:val="24"/>
              </w:rPr>
              <w:tab/>
            </w:r>
            <w:r>
              <w:rPr>
                <w:rFonts w:cs="Arial"/>
                <w:sz w:val="24"/>
                <w:szCs w:val="24"/>
              </w:rPr>
              <w:tab/>
            </w:r>
            <w:r>
              <w:rPr>
                <w:rFonts w:cs="Arial"/>
                <w:sz w:val="24"/>
                <w:szCs w:val="24"/>
              </w:rPr>
              <w:tab/>
              <w:t>……</w:t>
            </w:r>
          </w:p>
          <w:p w14:paraId="36CF840A" w14:textId="77777777" w:rsidR="00CF0B54" w:rsidRPr="00751151" w:rsidRDefault="00CF0B54" w:rsidP="00550613">
            <w:pPr>
              <w:tabs>
                <w:tab w:val="left" w:pos="856"/>
              </w:tabs>
              <w:autoSpaceDE w:val="0"/>
              <w:autoSpaceDN w:val="0"/>
              <w:adjustRightInd w:val="0"/>
              <w:spacing w:before="120"/>
              <w:ind w:left="289" w:right="147"/>
              <w:rPr>
                <w:rFonts w:cs="Arial"/>
                <w:sz w:val="24"/>
                <w:szCs w:val="24"/>
              </w:rPr>
            </w:pPr>
            <w:r w:rsidRPr="00AC242E">
              <w:rPr>
                <w:rFonts w:cs="Arial"/>
                <w:b/>
                <w:sz w:val="24"/>
                <w:szCs w:val="24"/>
              </w:rPr>
              <w:t>Vivienda progresiva</w:t>
            </w:r>
            <w:r>
              <w:rPr>
                <w:rFonts w:cs="Arial"/>
                <w:sz w:val="24"/>
                <w:szCs w:val="24"/>
              </w:rPr>
              <w:t>:</w:t>
            </w:r>
            <w:r>
              <w:rPr>
                <w:rFonts w:cs="Arial"/>
                <w:sz w:val="24"/>
                <w:szCs w:val="24"/>
              </w:rPr>
              <w:tab/>
            </w:r>
            <w:r>
              <w:rPr>
                <w:rFonts w:cs="Arial"/>
                <w:sz w:val="24"/>
                <w:szCs w:val="24"/>
              </w:rPr>
              <w:tab/>
              <w:t>……</w:t>
            </w:r>
          </w:p>
          <w:p w14:paraId="520955B7" w14:textId="7E595D26" w:rsidR="00CF0B54" w:rsidRPr="00751151" w:rsidRDefault="00CF0B54" w:rsidP="00550613">
            <w:pPr>
              <w:tabs>
                <w:tab w:val="left" w:pos="856"/>
              </w:tabs>
              <w:autoSpaceDE w:val="0"/>
              <w:autoSpaceDN w:val="0"/>
              <w:adjustRightInd w:val="0"/>
              <w:spacing w:before="120"/>
              <w:ind w:left="289" w:right="147"/>
              <w:rPr>
                <w:rFonts w:cs="Arial"/>
                <w:sz w:val="24"/>
                <w:szCs w:val="24"/>
              </w:rPr>
            </w:pPr>
            <w:r>
              <w:rPr>
                <w:rFonts w:cs="Arial"/>
                <w:b/>
                <w:sz w:val="24"/>
                <w:szCs w:val="24"/>
              </w:rPr>
              <w:t>Infraestructura sanitaria</w:t>
            </w:r>
            <w:r>
              <w:rPr>
                <w:rFonts w:cs="Arial"/>
                <w:sz w:val="24"/>
                <w:szCs w:val="24"/>
              </w:rPr>
              <w:t>:</w:t>
            </w:r>
            <w:r>
              <w:rPr>
                <w:rFonts w:cs="Arial"/>
                <w:sz w:val="24"/>
                <w:szCs w:val="24"/>
              </w:rPr>
              <w:tab/>
            </w:r>
            <w:r>
              <w:rPr>
                <w:rFonts w:cs="Arial"/>
                <w:sz w:val="24"/>
                <w:szCs w:val="24"/>
              </w:rPr>
              <w:tab/>
              <w:t>……</w:t>
            </w:r>
          </w:p>
          <w:p w14:paraId="2535524E" w14:textId="77777777" w:rsidR="00CF0B54" w:rsidRDefault="00CF0B54" w:rsidP="00550613">
            <w:pPr>
              <w:autoSpaceDE w:val="0"/>
              <w:autoSpaceDN w:val="0"/>
              <w:adjustRightInd w:val="0"/>
              <w:rPr>
                <w:rFonts w:cs="Arial"/>
                <w:b/>
                <w:bCs/>
                <w:sz w:val="24"/>
                <w:szCs w:val="24"/>
              </w:rPr>
            </w:pPr>
          </w:p>
          <w:p w14:paraId="79B9B2DC" w14:textId="32E50862" w:rsidR="00CF0B54" w:rsidRPr="008B1FF4" w:rsidRDefault="00CF0B54" w:rsidP="00550613">
            <w:pPr>
              <w:tabs>
                <w:tab w:val="left" w:pos="856"/>
                <w:tab w:val="left" w:pos="1843"/>
              </w:tabs>
              <w:ind w:left="289" w:right="147"/>
              <w:rPr>
                <w:rFonts w:ascii="Verdana" w:eastAsia="Times New Roman" w:hAnsi="Verdana" w:cs="Arial"/>
                <w:spacing w:val="6"/>
                <w:sz w:val="20"/>
                <w:szCs w:val="20"/>
                <w:lang w:eastAsia="es-ES"/>
              </w:rPr>
            </w:pPr>
            <w:r w:rsidRPr="00550613">
              <w:rPr>
                <w:rFonts w:ascii="Verdana" w:eastAsia="Times New Roman" w:hAnsi="Verdana" w:cs="Arial"/>
                <w:b/>
                <w:spacing w:val="6"/>
                <w:sz w:val="20"/>
                <w:szCs w:val="20"/>
                <w:highlight w:val="yellow"/>
                <w:lang w:eastAsia="es-ES"/>
              </w:rPr>
              <w:t>“Zona de Integración Urbana”:</w:t>
            </w:r>
            <w:r w:rsidRPr="00550613">
              <w:rPr>
                <w:rFonts w:ascii="Verdana" w:eastAsia="Times New Roman" w:hAnsi="Verdana" w:cs="Arial"/>
                <w:spacing w:val="6"/>
                <w:sz w:val="20"/>
                <w:szCs w:val="20"/>
                <w:highlight w:val="yellow"/>
                <w:lang w:eastAsia="es-ES"/>
              </w:rPr>
              <w:t xml:space="preserve"> Área que </w:t>
            </w:r>
            <w:r w:rsidRPr="00550613">
              <w:rPr>
                <w:rFonts w:ascii="Verdana" w:eastAsia="Times New Roman" w:hAnsi="Verdana" w:cs="Arial"/>
                <w:b/>
                <w:spacing w:val="6"/>
                <w:sz w:val="20"/>
                <w:szCs w:val="20"/>
                <w:highlight w:val="yellow"/>
                <w:lang w:eastAsia="es-ES"/>
              </w:rPr>
              <w:t>conforma</w:t>
            </w:r>
            <w:r w:rsidRPr="00550613">
              <w:rPr>
                <w:rFonts w:ascii="Verdana" w:eastAsia="Times New Roman" w:hAnsi="Verdana" w:cs="Arial"/>
                <w:spacing w:val="6"/>
                <w:sz w:val="20"/>
                <w:szCs w:val="20"/>
                <w:highlight w:val="yellow"/>
                <w:lang w:eastAsia="es-ES"/>
              </w:rPr>
              <w:t xml:space="preserve"> un polígono determinado, de acuerdo con lo dispuesto en el artículo 6.1.13., en la que se podrán otorgar beneficios de normas urbanísticas a proyectos de viviendas integradas, según lo establecido en el artículo 6.1.14.</w:t>
            </w:r>
          </w:p>
          <w:p w14:paraId="7304E06B" w14:textId="77777777" w:rsidR="00CF0B54" w:rsidRPr="00751151" w:rsidRDefault="00CF0B54" w:rsidP="00550613">
            <w:pPr>
              <w:autoSpaceDE w:val="0"/>
              <w:autoSpaceDN w:val="0"/>
              <w:adjustRightInd w:val="0"/>
              <w:rPr>
                <w:rFonts w:cs="Arial"/>
                <w:b/>
                <w:bCs/>
                <w:sz w:val="24"/>
                <w:szCs w:val="24"/>
              </w:rPr>
            </w:pPr>
          </w:p>
        </w:tc>
        <w:tc>
          <w:tcPr>
            <w:tcW w:w="3937" w:type="dxa"/>
            <w:shd w:val="clear" w:color="auto" w:fill="FFFFFF" w:themeFill="background1"/>
          </w:tcPr>
          <w:p w14:paraId="7AA21228" w14:textId="77777777" w:rsidR="00CF0B54" w:rsidRDefault="00CF0B54" w:rsidP="00550613">
            <w:pPr>
              <w:autoSpaceDE w:val="0"/>
              <w:autoSpaceDN w:val="0"/>
              <w:adjustRightInd w:val="0"/>
              <w:rPr>
                <w:rFonts w:cs="Arial"/>
                <w:b/>
                <w:bCs/>
                <w:sz w:val="24"/>
                <w:szCs w:val="24"/>
              </w:rPr>
            </w:pPr>
          </w:p>
        </w:tc>
      </w:tr>
      <w:tr w:rsidR="00CF0B54" w:rsidRPr="00751151" w14:paraId="4710D5AC" w14:textId="369F6F8F" w:rsidTr="00CF0B54">
        <w:trPr>
          <w:trHeight w:val="416"/>
        </w:trPr>
        <w:tc>
          <w:tcPr>
            <w:tcW w:w="4858" w:type="dxa"/>
            <w:shd w:val="clear" w:color="auto" w:fill="FFFFFF" w:themeFill="background1"/>
            <w:vAlign w:val="center"/>
          </w:tcPr>
          <w:p w14:paraId="36976A70" w14:textId="77777777" w:rsidR="00CF0B54" w:rsidRPr="00751151" w:rsidRDefault="00CF0B54" w:rsidP="006D375F">
            <w:pPr>
              <w:autoSpaceDE w:val="0"/>
              <w:autoSpaceDN w:val="0"/>
              <w:adjustRightInd w:val="0"/>
              <w:jc w:val="both"/>
              <w:rPr>
                <w:rFonts w:cs="Arial"/>
                <w:b/>
                <w:bCs/>
                <w:sz w:val="24"/>
                <w:szCs w:val="24"/>
              </w:rPr>
            </w:pPr>
          </w:p>
          <w:p w14:paraId="3A7126F2" w14:textId="1DF3E69A" w:rsidR="00CF0B54" w:rsidRPr="00751151" w:rsidRDefault="00CF0B54" w:rsidP="00550613">
            <w:pPr>
              <w:tabs>
                <w:tab w:val="left" w:pos="1794"/>
              </w:tabs>
              <w:autoSpaceDE w:val="0"/>
              <w:autoSpaceDN w:val="0"/>
              <w:adjustRightInd w:val="0"/>
              <w:jc w:val="both"/>
              <w:rPr>
                <w:rFonts w:cs="Arial"/>
                <w:sz w:val="24"/>
                <w:szCs w:val="24"/>
              </w:rPr>
            </w:pPr>
            <w:r w:rsidRPr="00751151">
              <w:rPr>
                <w:rFonts w:cs="Arial"/>
                <w:b/>
                <w:bCs/>
                <w:sz w:val="24"/>
                <w:szCs w:val="24"/>
              </w:rPr>
              <w:t>Artículo 6.1.8.</w:t>
            </w:r>
            <w:r>
              <w:rPr>
                <w:rFonts w:cs="Arial"/>
                <w:b/>
                <w:bCs/>
                <w:sz w:val="24"/>
                <w:szCs w:val="24"/>
              </w:rPr>
              <w:tab/>
            </w:r>
            <w:r w:rsidRPr="00751151">
              <w:rPr>
                <w:rFonts w:cs="Arial"/>
                <w:sz w:val="24"/>
                <w:szCs w:val="24"/>
              </w:rPr>
              <w:t xml:space="preserve">A los </w:t>
            </w:r>
            <w:r w:rsidRPr="00550613">
              <w:rPr>
                <w:rFonts w:cs="Arial"/>
                <w:sz w:val="24"/>
                <w:szCs w:val="24"/>
              </w:rPr>
              <w:t>conjuntos de viviendas económicas de hasta 4 pisos de altura</w:t>
            </w:r>
            <w:r w:rsidRPr="00751151">
              <w:rPr>
                <w:rFonts w:cs="Arial"/>
                <w:sz w:val="24"/>
                <w:szCs w:val="24"/>
              </w:rPr>
              <w:t xml:space="preserve"> sólo les serán aplicables las siguientes normas de los respectivos Instrumentos de Planificación Territorial:</w:t>
            </w:r>
          </w:p>
          <w:p w14:paraId="0C5E0AA3" w14:textId="77777777" w:rsidR="00CF0B54" w:rsidRDefault="00CF0B54" w:rsidP="006D375F">
            <w:pPr>
              <w:autoSpaceDE w:val="0"/>
              <w:autoSpaceDN w:val="0"/>
              <w:adjustRightInd w:val="0"/>
              <w:jc w:val="both"/>
              <w:rPr>
                <w:rFonts w:cs="Arial"/>
                <w:sz w:val="24"/>
                <w:szCs w:val="24"/>
              </w:rPr>
            </w:pPr>
          </w:p>
          <w:p w14:paraId="0ECAC790" w14:textId="77777777" w:rsidR="00CF0B54" w:rsidRDefault="00CF0B54" w:rsidP="006D375F">
            <w:pPr>
              <w:autoSpaceDE w:val="0"/>
              <w:autoSpaceDN w:val="0"/>
              <w:adjustRightInd w:val="0"/>
              <w:jc w:val="both"/>
              <w:rPr>
                <w:rFonts w:cs="Arial"/>
                <w:sz w:val="24"/>
                <w:szCs w:val="24"/>
              </w:rPr>
            </w:pPr>
          </w:p>
          <w:p w14:paraId="7EA8E833" w14:textId="77777777" w:rsidR="00CF0B54" w:rsidRPr="00751151" w:rsidRDefault="00CF0B54" w:rsidP="006D375F">
            <w:pPr>
              <w:autoSpaceDE w:val="0"/>
              <w:autoSpaceDN w:val="0"/>
              <w:adjustRightInd w:val="0"/>
              <w:jc w:val="both"/>
              <w:rPr>
                <w:rFonts w:cs="Arial"/>
                <w:sz w:val="24"/>
                <w:szCs w:val="24"/>
              </w:rPr>
            </w:pPr>
          </w:p>
          <w:p w14:paraId="21EFD2CE" w14:textId="7A4A8B4A" w:rsidR="00CF0B54" w:rsidRPr="00751151" w:rsidRDefault="00CF0B54" w:rsidP="006D375F">
            <w:pPr>
              <w:pStyle w:val="Prrafodelista"/>
              <w:numPr>
                <w:ilvl w:val="0"/>
                <w:numId w:val="11"/>
              </w:numPr>
              <w:autoSpaceDE w:val="0"/>
              <w:autoSpaceDN w:val="0"/>
              <w:adjustRightInd w:val="0"/>
              <w:spacing w:before="120"/>
              <w:ind w:left="499" w:hanging="284"/>
              <w:contextualSpacing w:val="0"/>
              <w:jc w:val="both"/>
              <w:rPr>
                <w:rFonts w:cs="Arial"/>
                <w:sz w:val="24"/>
                <w:szCs w:val="24"/>
              </w:rPr>
            </w:pPr>
            <w:r w:rsidRPr="00751151">
              <w:rPr>
                <w:rFonts w:cs="Arial"/>
                <w:sz w:val="24"/>
                <w:szCs w:val="24"/>
              </w:rPr>
              <w:t>Rasantes y distanciamiento, respecto de los predios vecinos al proyecto.</w:t>
            </w:r>
          </w:p>
          <w:p w14:paraId="54A966D1" w14:textId="3B6E5AE5" w:rsidR="00CF0B54" w:rsidRPr="00751151" w:rsidRDefault="00CF0B54" w:rsidP="006D375F">
            <w:pPr>
              <w:pStyle w:val="Prrafodelista"/>
              <w:numPr>
                <w:ilvl w:val="0"/>
                <w:numId w:val="11"/>
              </w:numPr>
              <w:autoSpaceDE w:val="0"/>
              <w:autoSpaceDN w:val="0"/>
              <w:adjustRightInd w:val="0"/>
              <w:spacing w:before="120"/>
              <w:ind w:left="499" w:hanging="284"/>
              <w:contextualSpacing w:val="0"/>
              <w:jc w:val="both"/>
              <w:rPr>
                <w:rFonts w:cs="Arial"/>
                <w:sz w:val="24"/>
                <w:szCs w:val="24"/>
              </w:rPr>
            </w:pPr>
            <w:r w:rsidRPr="00751151">
              <w:rPr>
                <w:rFonts w:cs="Arial"/>
                <w:sz w:val="24"/>
                <w:szCs w:val="24"/>
              </w:rPr>
              <w:t>Antejardines, rasantes y sistemas de agrupamiento con respecto a la o las vías públicas, existentes o previstas en el Instrumento de Planificación Territorial.</w:t>
            </w:r>
          </w:p>
          <w:p w14:paraId="01DA4ADA" w14:textId="5893E5D6" w:rsidR="00CF0B54" w:rsidRPr="00751151" w:rsidRDefault="00CF0B54" w:rsidP="006D375F">
            <w:pPr>
              <w:pStyle w:val="Prrafodelista"/>
              <w:numPr>
                <w:ilvl w:val="0"/>
                <w:numId w:val="11"/>
              </w:numPr>
              <w:autoSpaceDE w:val="0"/>
              <w:autoSpaceDN w:val="0"/>
              <w:adjustRightInd w:val="0"/>
              <w:spacing w:before="120"/>
              <w:ind w:left="499" w:hanging="284"/>
              <w:contextualSpacing w:val="0"/>
              <w:jc w:val="both"/>
              <w:rPr>
                <w:rFonts w:cs="Arial"/>
                <w:sz w:val="24"/>
                <w:szCs w:val="24"/>
              </w:rPr>
            </w:pPr>
            <w:r w:rsidRPr="00751151">
              <w:rPr>
                <w:rFonts w:cs="Arial"/>
                <w:sz w:val="24"/>
                <w:szCs w:val="24"/>
              </w:rPr>
              <w:t>Zonas de riesgo.</w:t>
            </w:r>
          </w:p>
          <w:p w14:paraId="2E764864" w14:textId="79B3D98E" w:rsidR="00CF0B54" w:rsidRPr="00751151" w:rsidRDefault="00CF0B54" w:rsidP="006D375F">
            <w:pPr>
              <w:pStyle w:val="Prrafodelista"/>
              <w:numPr>
                <w:ilvl w:val="0"/>
                <w:numId w:val="11"/>
              </w:numPr>
              <w:autoSpaceDE w:val="0"/>
              <w:autoSpaceDN w:val="0"/>
              <w:adjustRightInd w:val="0"/>
              <w:spacing w:before="120"/>
              <w:ind w:left="499" w:hanging="284"/>
              <w:contextualSpacing w:val="0"/>
              <w:jc w:val="both"/>
              <w:rPr>
                <w:rFonts w:cs="Arial"/>
                <w:sz w:val="24"/>
                <w:szCs w:val="24"/>
              </w:rPr>
            </w:pPr>
            <w:r w:rsidRPr="00751151">
              <w:rPr>
                <w:rFonts w:cs="Arial"/>
                <w:sz w:val="24"/>
                <w:szCs w:val="24"/>
              </w:rPr>
              <w:t>Uso de suelo.</w:t>
            </w:r>
          </w:p>
          <w:p w14:paraId="0AC3EAD7" w14:textId="0BC8E1E0" w:rsidR="00CF0B54" w:rsidRPr="00751151" w:rsidRDefault="00CF0B54" w:rsidP="006D375F">
            <w:pPr>
              <w:pStyle w:val="Prrafodelista"/>
              <w:numPr>
                <w:ilvl w:val="0"/>
                <w:numId w:val="11"/>
              </w:numPr>
              <w:autoSpaceDE w:val="0"/>
              <w:autoSpaceDN w:val="0"/>
              <w:adjustRightInd w:val="0"/>
              <w:spacing w:before="120"/>
              <w:ind w:left="499" w:hanging="284"/>
              <w:contextualSpacing w:val="0"/>
              <w:jc w:val="both"/>
              <w:rPr>
                <w:rFonts w:cs="Arial"/>
                <w:sz w:val="24"/>
                <w:szCs w:val="24"/>
              </w:rPr>
            </w:pPr>
            <w:r w:rsidRPr="00751151">
              <w:rPr>
                <w:rFonts w:cs="Arial"/>
                <w:sz w:val="24"/>
                <w:szCs w:val="24"/>
              </w:rPr>
              <w:t>Dotación de estacionamientos.</w:t>
            </w:r>
          </w:p>
          <w:p w14:paraId="191501AA" w14:textId="064D07F4" w:rsidR="00CF0B54" w:rsidRPr="00751151" w:rsidRDefault="00CF0B54" w:rsidP="006D375F">
            <w:pPr>
              <w:pStyle w:val="Prrafodelista"/>
              <w:numPr>
                <w:ilvl w:val="0"/>
                <w:numId w:val="11"/>
              </w:numPr>
              <w:autoSpaceDE w:val="0"/>
              <w:autoSpaceDN w:val="0"/>
              <w:adjustRightInd w:val="0"/>
              <w:spacing w:before="120"/>
              <w:ind w:left="499" w:hanging="284"/>
              <w:contextualSpacing w:val="0"/>
              <w:jc w:val="both"/>
              <w:rPr>
                <w:rFonts w:cs="Arial"/>
                <w:sz w:val="24"/>
                <w:szCs w:val="24"/>
              </w:rPr>
            </w:pPr>
            <w:r w:rsidRPr="00751151">
              <w:rPr>
                <w:rFonts w:cs="Arial"/>
                <w:sz w:val="24"/>
                <w:szCs w:val="24"/>
              </w:rPr>
              <w:t>Densidades, las que podrán ser incrementadas en un 25%.</w:t>
            </w:r>
          </w:p>
          <w:p w14:paraId="55ED9C24" w14:textId="717BD4E9" w:rsidR="00CF0B54" w:rsidRPr="00751151" w:rsidRDefault="00CF0B54" w:rsidP="006D375F">
            <w:pPr>
              <w:pStyle w:val="Prrafodelista"/>
              <w:numPr>
                <w:ilvl w:val="0"/>
                <w:numId w:val="11"/>
              </w:numPr>
              <w:autoSpaceDE w:val="0"/>
              <w:autoSpaceDN w:val="0"/>
              <w:adjustRightInd w:val="0"/>
              <w:spacing w:before="120"/>
              <w:ind w:left="499" w:hanging="284"/>
              <w:contextualSpacing w:val="0"/>
              <w:jc w:val="both"/>
              <w:rPr>
                <w:rFonts w:cs="Arial"/>
                <w:sz w:val="24"/>
                <w:szCs w:val="24"/>
              </w:rPr>
            </w:pPr>
            <w:r w:rsidRPr="00751151">
              <w:rPr>
                <w:rFonts w:cs="Arial"/>
                <w:sz w:val="24"/>
                <w:szCs w:val="24"/>
              </w:rPr>
              <w:t>Vialidad.</w:t>
            </w:r>
          </w:p>
          <w:p w14:paraId="13A1DDEF" w14:textId="77777777" w:rsidR="00CF0B54" w:rsidRPr="00751151" w:rsidRDefault="00CF0B54" w:rsidP="00B64CF1">
            <w:pPr>
              <w:autoSpaceDE w:val="0"/>
              <w:autoSpaceDN w:val="0"/>
              <w:adjustRightInd w:val="0"/>
              <w:rPr>
                <w:rFonts w:cs="Arial"/>
                <w:sz w:val="24"/>
                <w:szCs w:val="24"/>
              </w:rPr>
            </w:pPr>
          </w:p>
          <w:p w14:paraId="6EE53DD9" w14:textId="3E461F47" w:rsidR="00CF0B54" w:rsidRPr="00751151" w:rsidRDefault="00CF0B54" w:rsidP="00550613">
            <w:pPr>
              <w:autoSpaceDE w:val="0"/>
              <w:autoSpaceDN w:val="0"/>
              <w:adjustRightInd w:val="0"/>
              <w:ind w:firstLine="1635"/>
              <w:jc w:val="both"/>
              <w:rPr>
                <w:rFonts w:cs="Arial"/>
                <w:sz w:val="24"/>
                <w:szCs w:val="24"/>
              </w:rPr>
            </w:pPr>
            <w:r w:rsidRPr="00751151">
              <w:rPr>
                <w:rFonts w:cs="Arial"/>
                <w:sz w:val="24"/>
                <w:szCs w:val="24"/>
              </w:rPr>
              <w:t>Para acceder al beneficio señalado en el inciso anterior, estos conjuntos deberán cumplir las siguientes condiciones:</w:t>
            </w:r>
          </w:p>
          <w:p w14:paraId="18A7F885" w14:textId="77777777" w:rsidR="00CF0B54" w:rsidRPr="00751151" w:rsidRDefault="00CF0B54" w:rsidP="006D375F">
            <w:pPr>
              <w:autoSpaceDE w:val="0"/>
              <w:autoSpaceDN w:val="0"/>
              <w:adjustRightInd w:val="0"/>
              <w:jc w:val="both"/>
              <w:rPr>
                <w:rFonts w:cs="Arial"/>
                <w:sz w:val="24"/>
                <w:szCs w:val="24"/>
              </w:rPr>
            </w:pPr>
          </w:p>
          <w:p w14:paraId="6B82AF3B" w14:textId="54EB3633" w:rsidR="00CF0B54" w:rsidRPr="00751151" w:rsidRDefault="00CF0B54" w:rsidP="006D375F">
            <w:pPr>
              <w:pStyle w:val="Prrafodelista"/>
              <w:numPr>
                <w:ilvl w:val="0"/>
                <w:numId w:val="12"/>
              </w:numPr>
              <w:autoSpaceDE w:val="0"/>
              <w:autoSpaceDN w:val="0"/>
              <w:adjustRightInd w:val="0"/>
              <w:spacing w:before="120"/>
              <w:ind w:left="499" w:hanging="284"/>
              <w:contextualSpacing w:val="0"/>
              <w:jc w:val="both"/>
              <w:rPr>
                <w:rFonts w:cs="Arial"/>
                <w:sz w:val="24"/>
                <w:szCs w:val="24"/>
              </w:rPr>
            </w:pPr>
            <w:r w:rsidRPr="00751151">
              <w:rPr>
                <w:rFonts w:cs="Arial"/>
                <w:sz w:val="24"/>
                <w:szCs w:val="24"/>
              </w:rPr>
              <w:t>No sobrepasar los cuatro pisos, con una altura máxima de edificación de 14 m.</w:t>
            </w:r>
          </w:p>
          <w:p w14:paraId="341FB16A" w14:textId="77777777" w:rsidR="00CF0B54" w:rsidRPr="00751151" w:rsidRDefault="00CF0B54" w:rsidP="006D375F">
            <w:pPr>
              <w:pStyle w:val="Prrafodelista"/>
              <w:numPr>
                <w:ilvl w:val="0"/>
                <w:numId w:val="12"/>
              </w:numPr>
              <w:autoSpaceDE w:val="0"/>
              <w:autoSpaceDN w:val="0"/>
              <w:adjustRightInd w:val="0"/>
              <w:spacing w:before="120"/>
              <w:ind w:left="499" w:hanging="284"/>
              <w:contextualSpacing w:val="0"/>
              <w:jc w:val="both"/>
              <w:rPr>
                <w:rFonts w:cs="Arial"/>
                <w:sz w:val="24"/>
                <w:szCs w:val="24"/>
              </w:rPr>
            </w:pPr>
            <w:r w:rsidRPr="00751151">
              <w:rPr>
                <w:rFonts w:cs="Arial"/>
                <w:sz w:val="24"/>
                <w:szCs w:val="24"/>
              </w:rPr>
              <w:t>No superar los 3 pisos y 10,5 m de altura en zonas en que el Instrumento de Planificación Territorial admite sólo viviendas con esta altura máxima o menos, salvo que se contemple un distanciamiento hacia los deslindes de los predios vecinos de al menos 10 m, en cuyo caso no les será aplicable esta restricción.</w:t>
            </w:r>
          </w:p>
          <w:p w14:paraId="0F63F2C7" w14:textId="3EE5F62A" w:rsidR="00CF0B54" w:rsidRPr="00751151" w:rsidRDefault="00CF0B54" w:rsidP="006D375F">
            <w:pPr>
              <w:pStyle w:val="Prrafodelista"/>
              <w:numPr>
                <w:ilvl w:val="0"/>
                <w:numId w:val="12"/>
              </w:numPr>
              <w:autoSpaceDE w:val="0"/>
              <w:autoSpaceDN w:val="0"/>
              <w:adjustRightInd w:val="0"/>
              <w:spacing w:before="120"/>
              <w:ind w:left="499" w:hanging="284"/>
              <w:contextualSpacing w:val="0"/>
              <w:jc w:val="both"/>
              <w:rPr>
                <w:rFonts w:cs="Arial"/>
                <w:sz w:val="24"/>
                <w:szCs w:val="24"/>
              </w:rPr>
            </w:pPr>
            <w:r w:rsidRPr="00751151">
              <w:rPr>
                <w:rFonts w:cs="Arial"/>
                <w:sz w:val="24"/>
                <w:szCs w:val="24"/>
              </w:rPr>
              <w:t xml:space="preserve">Cumplir con una superficie mínima de patio de 24 m2 por cada unidad de vivienda, salvo que se contemple una superficie equivalente de área verde para uso común. </w:t>
            </w:r>
          </w:p>
        </w:tc>
        <w:tc>
          <w:tcPr>
            <w:tcW w:w="4858" w:type="dxa"/>
            <w:shd w:val="clear" w:color="auto" w:fill="FFFFFF" w:themeFill="background1"/>
            <w:vAlign w:val="center"/>
          </w:tcPr>
          <w:p w14:paraId="634A61B5" w14:textId="77777777" w:rsidR="00CF0B54" w:rsidRPr="00751151" w:rsidRDefault="00CF0B54" w:rsidP="006D375F">
            <w:pPr>
              <w:autoSpaceDE w:val="0"/>
              <w:autoSpaceDN w:val="0"/>
              <w:adjustRightInd w:val="0"/>
              <w:jc w:val="both"/>
              <w:rPr>
                <w:rFonts w:cs="Arial"/>
                <w:b/>
                <w:bCs/>
                <w:sz w:val="24"/>
                <w:szCs w:val="24"/>
              </w:rPr>
            </w:pPr>
          </w:p>
          <w:p w14:paraId="4ED30416" w14:textId="1D512BCA" w:rsidR="00CF0B54" w:rsidRPr="00751151" w:rsidRDefault="00CF0B54" w:rsidP="00550613">
            <w:pPr>
              <w:tabs>
                <w:tab w:val="left" w:pos="2157"/>
              </w:tabs>
              <w:autoSpaceDE w:val="0"/>
              <w:autoSpaceDN w:val="0"/>
              <w:adjustRightInd w:val="0"/>
              <w:jc w:val="both"/>
              <w:rPr>
                <w:rFonts w:cs="Arial"/>
                <w:sz w:val="24"/>
                <w:szCs w:val="24"/>
              </w:rPr>
            </w:pPr>
            <w:r w:rsidRPr="00751151">
              <w:rPr>
                <w:rFonts w:cs="Arial"/>
                <w:b/>
                <w:bCs/>
                <w:sz w:val="24"/>
                <w:szCs w:val="24"/>
              </w:rPr>
              <w:t>Artículo 6.1.8.</w:t>
            </w:r>
            <w:r>
              <w:rPr>
                <w:rFonts w:cs="Arial"/>
                <w:b/>
                <w:bCs/>
                <w:sz w:val="24"/>
                <w:szCs w:val="24"/>
              </w:rPr>
              <w:tab/>
            </w:r>
            <w:r w:rsidRPr="007D6663">
              <w:rPr>
                <w:rFonts w:eastAsia="Times New Roman" w:cs="Arial"/>
                <w:spacing w:val="6"/>
                <w:sz w:val="24"/>
                <w:szCs w:val="24"/>
                <w:lang w:eastAsia="es-ES"/>
              </w:rPr>
              <w:t xml:space="preserve">A los </w:t>
            </w:r>
            <w:r w:rsidRPr="00550613">
              <w:rPr>
                <w:rFonts w:eastAsia="Times New Roman" w:cs="Arial"/>
                <w:spacing w:val="6"/>
                <w:sz w:val="24"/>
                <w:szCs w:val="24"/>
                <w:highlight w:val="yellow"/>
                <w:lang w:eastAsia="es-ES"/>
              </w:rPr>
              <w:t>proyectos residenciales que cuenten exclusivamente con viviendas económicas destinadas a beneficiarios de programas habitacionales del Estado,</w:t>
            </w:r>
            <w:r w:rsidRPr="00751151">
              <w:rPr>
                <w:rFonts w:eastAsia="Times New Roman" w:cs="Arial"/>
                <w:spacing w:val="6"/>
                <w:sz w:val="24"/>
                <w:szCs w:val="24"/>
                <w:lang w:eastAsia="es-ES"/>
              </w:rPr>
              <w:t xml:space="preserve"> solo les serán aplicables las siguientes normas de los respectivos Instrumentos de Planificación Territorial:</w:t>
            </w:r>
          </w:p>
          <w:p w14:paraId="53E831F4" w14:textId="77777777" w:rsidR="00CF0B54" w:rsidRPr="00751151" w:rsidRDefault="00CF0B54" w:rsidP="00FD6E2A">
            <w:pPr>
              <w:autoSpaceDE w:val="0"/>
              <w:autoSpaceDN w:val="0"/>
              <w:adjustRightInd w:val="0"/>
              <w:ind w:right="175"/>
              <w:jc w:val="both"/>
              <w:rPr>
                <w:rFonts w:cs="Arial"/>
                <w:sz w:val="24"/>
                <w:szCs w:val="24"/>
              </w:rPr>
            </w:pPr>
          </w:p>
          <w:p w14:paraId="0DD14DD0" w14:textId="77777777" w:rsidR="00CF0B54" w:rsidRPr="00751151" w:rsidRDefault="00CF0B54" w:rsidP="00CF0B54">
            <w:pPr>
              <w:pStyle w:val="Prrafodelista"/>
              <w:numPr>
                <w:ilvl w:val="0"/>
                <w:numId w:val="11"/>
              </w:numPr>
              <w:autoSpaceDE w:val="0"/>
              <w:autoSpaceDN w:val="0"/>
              <w:adjustRightInd w:val="0"/>
              <w:spacing w:before="120"/>
              <w:ind w:left="393" w:right="175" w:hanging="284"/>
              <w:contextualSpacing w:val="0"/>
              <w:jc w:val="both"/>
              <w:rPr>
                <w:rFonts w:cs="Arial"/>
                <w:sz w:val="24"/>
                <w:szCs w:val="24"/>
              </w:rPr>
            </w:pPr>
            <w:r w:rsidRPr="00751151">
              <w:rPr>
                <w:rFonts w:cs="Arial"/>
                <w:sz w:val="24"/>
                <w:szCs w:val="24"/>
              </w:rPr>
              <w:t>Rasantes y distanciamiento, respecto de los predios vecinos al proyecto.</w:t>
            </w:r>
          </w:p>
          <w:p w14:paraId="31A2D4D1" w14:textId="77777777" w:rsidR="00CF0B54" w:rsidRPr="00751151" w:rsidRDefault="00CF0B54" w:rsidP="00CF0B54">
            <w:pPr>
              <w:pStyle w:val="Prrafodelista"/>
              <w:numPr>
                <w:ilvl w:val="0"/>
                <w:numId w:val="11"/>
              </w:numPr>
              <w:autoSpaceDE w:val="0"/>
              <w:autoSpaceDN w:val="0"/>
              <w:adjustRightInd w:val="0"/>
              <w:spacing w:before="120"/>
              <w:ind w:left="393" w:right="175" w:hanging="284"/>
              <w:contextualSpacing w:val="0"/>
              <w:jc w:val="both"/>
              <w:rPr>
                <w:rFonts w:cs="Arial"/>
                <w:sz w:val="24"/>
                <w:szCs w:val="24"/>
              </w:rPr>
            </w:pPr>
            <w:r w:rsidRPr="00751151">
              <w:rPr>
                <w:rFonts w:cs="Arial"/>
                <w:sz w:val="24"/>
                <w:szCs w:val="24"/>
              </w:rPr>
              <w:t>Antejardines, rasantes y sistemas de agrupamiento con respecto a la o las vías públicas, existentes o previstas en el Instrumento de Planificación Territorial.</w:t>
            </w:r>
          </w:p>
          <w:p w14:paraId="4ECB2EDD" w14:textId="77777777" w:rsidR="00CF0B54" w:rsidRPr="00751151" w:rsidRDefault="00CF0B54" w:rsidP="00CF0B54">
            <w:pPr>
              <w:pStyle w:val="Prrafodelista"/>
              <w:numPr>
                <w:ilvl w:val="0"/>
                <w:numId w:val="11"/>
              </w:numPr>
              <w:autoSpaceDE w:val="0"/>
              <w:autoSpaceDN w:val="0"/>
              <w:adjustRightInd w:val="0"/>
              <w:spacing w:before="120"/>
              <w:ind w:left="393" w:right="175" w:hanging="284"/>
              <w:contextualSpacing w:val="0"/>
              <w:jc w:val="both"/>
              <w:rPr>
                <w:rFonts w:cs="Arial"/>
                <w:sz w:val="24"/>
                <w:szCs w:val="24"/>
              </w:rPr>
            </w:pPr>
            <w:r w:rsidRPr="00751151">
              <w:rPr>
                <w:rFonts w:cs="Arial"/>
                <w:sz w:val="24"/>
                <w:szCs w:val="24"/>
              </w:rPr>
              <w:t>Zonas de riesgo.</w:t>
            </w:r>
          </w:p>
          <w:p w14:paraId="63D1C56D" w14:textId="77777777" w:rsidR="00CF0B54" w:rsidRPr="00751151" w:rsidRDefault="00CF0B54" w:rsidP="00CF0B54">
            <w:pPr>
              <w:pStyle w:val="Prrafodelista"/>
              <w:numPr>
                <w:ilvl w:val="0"/>
                <w:numId w:val="11"/>
              </w:numPr>
              <w:autoSpaceDE w:val="0"/>
              <w:autoSpaceDN w:val="0"/>
              <w:adjustRightInd w:val="0"/>
              <w:spacing w:before="120"/>
              <w:ind w:left="393" w:right="175" w:hanging="284"/>
              <w:contextualSpacing w:val="0"/>
              <w:jc w:val="both"/>
              <w:rPr>
                <w:rFonts w:cs="Arial"/>
                <w:sz w:val="24"/>
                <w:szCs w:val="24"/>
              </w:rPr>
            </w:pPr>
            <w:r w:rsidRPr="00751151">
              <w:rPr>
                <w:rFonts w:cs="Arial"/>
                <w:sz w:val="24"/>
                <w:szCs w:val="24"/>
              </w:rPr>
              <w:t>Uso de suelo.</w:t>
            </w:r>
          </w:p>
          <w:p w14:paraId="018FCB15" w14:textId="77777777" w:rsidR="00CF0B54" w:rsidRPr="00751151" w:rsidRDefault="00CF0B54" w:rsidP="00CF0B54">
            <w:pPr>
              <w:pStyle w:val="Prrafodelista"/>
              <w:numPr>
                <w:ilvl w:val="0"/>
                <w:numId w:val="11"/>
              </w:numPr>
              <w:autoSpaceDE w:val="0"/>
              <w:autoSpaceDN w:val="0"/>
              <w:adjustRightInd w:val="0"/>
              <w:spacing w:before="120"/>
              <w:ind w:left="393" w:right="175" w:hanging="284"/>
              <w:contextualSpacing w:val="0"/>
              <w:jc w:val="both"/>
              <w:rPr>
                <w:rFonts w:cs="Arial"/>
                <w:sz w:val="24"/>
                <w:szCs w:val="24"/>
              </w:rPr>
            </w:pPr>
            <w:r w:rsidRPr="00751151">
              <w:rPr>
                <w:rFonts w:cs="Arial"/>
                <w:sz w:val="24"/>
                <w:szCs w:val="24"/>
              </w:rPr>
              <w:t>Dotación de estacionamientos.</w:t>
            </w:r>
          </w:p>
          <w:p w14:paraId="046E8800" w14:textId="77777777" w:rsidR="00CF0B54" w:rsidRPr="00751151" w:rsidRDefault="00CF0B54" w:rsidP="00CF0B54">
            <w:pPr>
              <w:pStyle w:val="Prrafodelista"/>
              <w:numPr>
                <w:ilvl w:val="0"/>
                <w:numId w:val="11"/>
              </w:numPr>
              <w:autoSpaceDE w:val="0"/>
              <w:autoSpaceDN w:val="0"/>
              <w:adjustRightInd w:val="0"/>
              <w:spacing w:before="120"/>
              <w:ind w:left="393" w:right="175" w:hanging="284"/>
              <w:contextualSpacing w:val="0"/>
              <w:jc w:val="both"/>
              <w:rPr>
                <w:rFonts w:cs="Arial"/>
                <w:sz w:val="24"/>
                <w:szCs w:val="24"/>
              </w:rPr>
            </w:pPr>
            <w:r w:rsidRPr="00751151">
              <w:rPr>
                <w:rFonts w:cs="Arial"/>
                <w:sz w:val="24"/>
                <w:szCs w:val="24"/>
              </w:rPr>
              <w:t>Densidades, las que podrán ser incrementadas en un 25%.</w:t>
            </w:r>
          </w:p>
          <w:p w14:paraId="1F64114A" w14:textId="77777777" w:rsidR="00CF0B54" w:rsidRPr="00751151" w:rsidRDefault="00CF0B54" w:rsidP="00CF0B54">
            <w:pPr>
              <w:pStyle w:val="Prrafodelista"/>
              <w:numPr>
                <w:ilvl w:val="0"/>
                <w:numId w:val="11"/>
              </w:numPr>
              <w:autoSpaceDE w:val="0"/>
              <w:autoSpaceDN w:val="0"/>
              <w:adjustRightInd w:val="0"/>
              <w:spacing w:before="120"/>
              <w:ind w:left="393" w:right="175" w:hanging="284"/>
              <w:contextualSpacing w:val="0"/>
              <w:jc w:val="both"/>
              <w:rPr>
                <w:rFonts w:cs="Arial"/>
                <w:sz w:val="24"/>
                <w:szCs w:val="24"/>
              </w:rPr>
            </w:pPr>
            <w:r w:rsidRPr="00751151">
              <w:rPr>
                <w:rFonts w:cs="Arial"/>
                <w:sz w:val="24"/>
                <w:szCs w:val="24"/>
              </w:rPr>
              <w:t>Vialidad.</w:t>
            </w:r>
          </w:p>
          <w:p w14:paraId="5CF80613" w14:textId="77777777" w:rsidR="00CF0B54" w:rsidRPr="00751151" w:rsidRDefault="00CF0B54" w:rsidP="00FD6E2A">
            <w:pPr>
              <w:autoSpaceDE w:val="0"/>
              <w:autoSpaceDN w:val="0"/>
              <w:adjustRightInd w:val="0"/>
              <w:ind w:right="175"/>
              <w:rPr>
                <w:rFonts w:cs="Arial"/>
                <w:sz w:val="24"/>
                <w:szCs w:val="24"/>
              </w:rPr>
            </w:pPr>
          </w:p>
          <w:p w14:paraId="320DFEAD" w14:textId="77777777" w:rsidR="00CF0B54" w:rsidRPr="00751151" w:rsidRDefault="00CF0B54" w:rsidP="00CF0B54">
            <w:pPr>
              <w:tabs>
                <w:tab w:val="left" w:pos="4642"/>
              </w:tabs>
              <w:autoSpaceDE w:val="0"/>
              <w:autoSpaceDN w:val="0"/>
              <w:adjustRightInd w:val="0"/>
              <w:ind w:right="-3" w:firstLine="1527"/>
              <w:jc w:val="both"/>
              <w:rPr>
                <w:rFonts w:cs="Arial"/>
                <w:sz w:val="24"/>
                <w:szCs w:val="24"/>
              </w:rPr>
            </w:pPr>
            <w:bookmarkStart w:id="0" w:name="_GoBack"/>
            <w:bookmarkEnd w:id="0"/>
            <w:r w:rsidRPr="00751151">
              <w:rPr>
                <w:rFonts w:cs="Arial"/>
                <w:sz w:val="24"/>
                <w:szCs w:val="24"/>
              </w:rPr>
              <w:t>Para acceder al beneficio señalado en el inciso anterior, estos conjuntos deberán cumplir las siguientes condiciones:</w:t>
            </w:r>
          </w:p>
          <w:p w14:paraId="5DF00711" w14:textId="77777777" w:rsidR="00CF0B54" w:rsidRPr="00751151" w:rsidRDefault="00CF0B54" w:rsidP="00FD6E2A">
            <w:pPr>
              <w:autoSpaceDE w:val="0"/>
              <w:autoSpaceDN w:val="0"/>
              <w:adjustRightInd w:val="0"/>
              <w:ind w:right="175"/>
              <w:jc w:val="both"/>
              <w:rPr>
                <w:rFonts w:cs="Arial"/>
                <w:sz w:val="24"/>
                <w:szCs w:val="24"/>
              </w:rPr>
            </w:pPr>
          </w:p>
          <w:p w14:paraId="5C4BF74F" w14:textId="77777777" w:rsidR="00CF0B54" w:rsidRPr="00751151" w:rsidRDefault="00CF0B54" w:rsidP="00FD6E2A">
            <w:pPr>
              <w:pStyle w:val="Prrafodelista"/>
              <w:numPr>
                <w:ilvl w:val="0"/>
                <w:numId w:val="12"/>
              </w:numPr>
              <w:autoSpaceDE w:val="0"/>
              <w:autoSpaceDN w:val="0"/>
              <w:adjustRightInd w:val="0"/>
              <w:spacing w:before="120"/>
              <w:ind w:left="499" w:right="175" w:hanging="284"/>
              <w:contextualSpacing w:val="0"/>
              <w:jc w:val="both"/>
              <w:rPr>
                <w:rFonts w:cs="Arial"/>
                <w:sz w:val="24"/>
                <w:szCs w:val="24"/>
              </w:rPr>
            </w:pPr>
            <w:r w:rsidRPr="00751151">
              <w:rPr>
                <w:rFonts w:cs="Arial"/>
                <w:sz w:val="24"/>
                <w:szCs w:val="24"/>
              </w:rPr>
              <w:t>No sobrepasar los cuatro pisos, con una altura máxima de edificación de 14 m.</w:t>
            </w:r>
          </w:p>
          <w:p w14:paraId="52ACCB1F" w14:textId="77777777" w:rsidR="00CF0B54" w:rsidRDefault="00CF0B54" w:rsidP="00FD6E2A">
            <w:pPr>
              <w:pStyle w:val="Prrafodelista"/>
              <w:numPr>
                <w:ilvl w:val="0"/>
                <w:numId w:val="12"/>
              </w:numPr>
              <w:autoSpaceDE w:val="0"/>
              <w:autoSpaceDN w:val="0"/>
              <w:adjustRightInd w:val="0"/>
              <w:spacing w:before="120"/>
              <w:ind w:left="499" w:right="175" w:hanging="284"/>
              <w:contextualSpacing w:val="0"/>
              <w:jc w:val="both"/>
              <w:rPr>
                <w:rFonts w:cs="Arial"/>
                <w:sz w:val="24"/>
                <w:szCs w:val="24"/>
              </w:rPr>
            </w:pPr>
            <w:r w:rsidRPr="00751151">
              <w:rPr>
                <w:rFonts w:cs="Arial"/>
                <w:sz w:val="24"/>
                <w:szCs w:val="24"/>
              </w:rPr>
              <w:t>No superar los 3 pisos y 10,5 m de altura en zonas en que el Instrumento de Planificación Territorial admite sólo viviendas con esta altura máxima o menos, salvo que se contemple un distanciamiento hacia los deslindes de los predios vecinos de al menos 10 m, en cuyo caso no les será aplicable esta restricción.</w:t>
            </w:r>
          </w:p>
          <w:p w14:paraId="43264A03" w14:textId="77777777" w:rsidR="00CF0B54" w:rsidRDefault="00CF0B54" w:rsidP="00FD6E2A">
            <w:pPr>
              <w:pStyle w:val="Prrafodelista"/>
              <w:numPr>
                <w:ilvl w:val="0"/>
                <w:numId w:val="12"/>
              </w:numPr>
              <w:autoSpaceDE w:val="0"/>
              <w:autoSpaceDN w:val="0"/>
              <w:adjustRightInd w:val="0"/>
              <w:spacing w:before="120"/>
              <w:ind w:left="499" w:right="175" w:hanging="284"/>
              <w:contextualSpacing w:val="0"/>
              <w:jc w:val="both"/>
              <w:rPr>
                <w:rFonts w:cs="Arial"/>
                <w:sz w:val="24"/>
                <w:szCs w:val="24"/>
              </w:rPr>
            </w:pPr>
            <w:r w:rsidRPr="00D00BAB">
              <w:rPr>
                <w:rFonts w:cs="Arial"/>
                <w:sz w:val="24"/>
                <w:szCs w:val="24"/>
              </w:rPr>
              <w:t>Cumplir con una superficie mínima de patio de 24 m2 por cada unidad de vivienda, salvo que se contemple una superficie equivalente de área verde para uso común.</w:t>
            </w:r>
          </w:p>
          <w:p w14:paraId="32D39C5B" w14:textId="77777777" w:rsidR="00CF0B54" w:rsidRPr="00043937" w:rsidRDefault="00CF0B54" w:rsidP="00FD6E2A">
            <w:pPr>
              <w:autoSpaceDE w:val="0"/>
              <w:autoSpaceDN w:val="0"/>
              <w:adjustRightInd w:val="0"/>
              <w:spacing w:before="120"/>
              <w:ind w:left="215" w:right="175"/>
              <w:jc w:val="both"/>
              <w:rPr>
                <w:rFonts w:cs="Arial"/>
                <w:sz w:val="24"/>
                <w:szCs w:val="24"/>
              </w:rPr>
            </w:pPr>
          </w:p>
          <w:p w14:paraId="1DEA89A2" w14:textId="77777777" w:rsidR="00CF0B54" w:rsidRDefault="00CF0B54" w:rsidP="00550613">
            <w:pPr>
              <w:tabs>
                <w:tab w:val="left" w:pos="5"/>
                <w:tab w:val="left" w:pos="1843"/>
              </w:tabs>
              <w:ind w:left="5" w:right="175" w:firstLine="1539"/>
              <w:jc w:val="both"/>
              <w:rPr>
                <w:rFonts w:ascii="Verdana" w:eastAsia="Times New Roman" w:hAnsi="Verdana" w:cs="Arial"/>
                <w:spacing w:val="6"/>
                <w:sz w:val="20"/>
                <w:szCs w:val="20"/>
                <w:lang w:eastAsia="es-ES"/>
              </w:rPr>
            </w:pPr>
            <w:r w:rsidRPr="00550613">
              <w:rPr>
                <w:rFonts w:ascii="Verdana" w:eastAsia="Times New Roman" w:hAnsi="Verdana" w:cs="Arial"/>
                <w:spacing w:val="6"/>
                <w:sz w:val="20"/>
                <w:szCs w:val="20"/>
                <w:highlight w:val="yellow"/>
                <w:lang w:eastAsia="es-ES"/>
              </w:rPr>
              <w:t xml:space="preserve">Los beneficios normativos contemplados en este artículo, no serán aplicables a los proyectos de viviendas integradas definidos en el artículo 6.1.2. </w:t>
            </w:r>
            <w:proofErr w:type="gramStart"/>
            <w:r w:rsidRPr="00550613">
              <w:rPr>
                <w:rFonts w:ascii="Verdana" w:eastAsia="Times New Roman" w:hAnsi="Verdana" w:cs="Arial"/>
                <w:spacing w:val="6"/>
                <w:sz w:val="20"/>
                <w:szCs w:val="20"/>
                <w:highlight w:val="yellow"/>
                <w:lang w:eastAsia="es-ES"/>
              </w:rPr>
              <w:t>de</w:t>
            </w:r>
            <w:proofErr w:type="gramEnd"/>
            <w:r w:rsidRPr="00550613">
              <w:rPr>
                <w:rFonts w:ascii="Verdana" w:eastAsia="Times New Roman" w:hAnsi="Verdana" w:cs="Arial"/>
                <w:spacing w:val="6"/>
                <w:sz w:val="20"/>
                <w:szCs w:val="20"/>
                <w:highlight w:val="yellow"/>
                <w:lang w:eastAsia="es-ES"/>
              </w:rPr>
              <w:t xml:space="preserve"> esta Ordenanza.</w:t>
            </w:r>
          </w:p>
          <w:p w14:paraId="6D1B3017" w14:textId="30E26801" w:rsidR="00CF0B54" w:rsidRPr="00550613" w:rsidRDefault="00CF0B54" w:rsidP="00550613">
            <w:pPr>
              <w:tabs>
                <w:tab w:val="left" w:pos="5"/>
                <w:tab w:val="left" w:pos="1843"/>
              </w:tabs>
              <w:ind w:left="5" w:right="175" w:firstLine="1539"/>
              <w:jc w:val="both"/>
              <w:rPr>
                <w:rFonts w:ascii="Verdana" w:eastAsia="Times New Roman" w:hAnsi="Verdana" w:cs="Arial"/>
                <w:spacing w:val="6"/>
                <w:sz w:val="20"/>
                <w:szCs w:val="20"/>
                <w:lang w:eastAsia="es-ES"/>
              </w:rPr>
            </w:pPr>
          </w:p>
        </w:tc>
        <w:tc>
          <w:tcPr>
            <w:tcW w:w="3937" w:type="dxa"/>
            <w:shd w:val="clear" w:color="auto" w:fill="FFFFFF" w:themeFill="background1"/>
          </w:tcPr>
          <w:p w14:paraId="1D879180" w14:textId="77777777" w:rsidR="00CF0B54" w:rsidRPr="00751151" w:rsidRDefault="00CF0B54" w:rsidP="006D375F">
            <w:pPr>
              <w:autoSpaceDE w:val="0"/>
              <w:autoSpaceDN w:val="0"/>
              <w:adjustRightInd w:val="0"/>
              <w:jc w:val="both"/>
              <w:rPr>
                <w:rFonts w:cs="Arial"/>
                <w:b/>
                <w:bCs/>
                <w:sz w:val="24"/>
                <w:szCs w:val="24"/>
              </w:rPr>
            </w:pPr>
          </w:p>
        </w:tc>
      </w:tr>
      <w:tr w:rsidR="00CF0B54" w:rsidRPr="00751151" w14:paraId="5EA6AA43" w14:textId="74E59917" w:rsidTr="00CF0B54">
        <w:trPr>
          <w:trHeight w:val="907"/>
        </w:trPr>
        <w:tc>
          <w:tcPr>
            <w:tcW w:w="4858" w:type="dxa"/>
          </w:tcPr>
          <w:p w14:paraId="57BAF701" w14:textId="77777777" w:rsidR="00CF0B54" w:rsidRDefault="00CF0B54" w:rsidP="0098381E">
            <w:pPr>
              <w:autoSpaceDE w:val="0"/>
              <w:autoSpaceDN w:val="0"/>
              <w:adjustRightInd w:val="0"/>
              <w:rPr>
                <w:rFonts w:cs="Arial"/>
                <w:sz w:val="24"/>
                <w:szCs w:val="24"/>
              </w:rPr>
            </w:pPr>
          </w:p>
          <w:p w14:paraId="60CC1407" w14:textId="3AA2BFB3" w:rsidR="00CF0B54" w:rsidRPr="00043937" w:rsidRDefault="00CF0B54" w:rsidP="003D12D2">
            <w:pPr>
              <w:autoSpaceDE w:val="0"/>
              <w:autoSpaceDN w:val="0"/>
              <w:adjustRightInd w:val="0"/>
              <w:jc w:val="center"/>
              <w:rPr>
                <w:rFonts w:cs="Arial"/>
                <w:b/>
                <w:sz w:val="24"/>
                <w:szCs w:val="24"/>
              </w:rPr>
            </w:pPr>
            <w:r w:rsidRPr="00043937">
              <w:rPr>
                <w:rFonts w:cs="Arial"/>
                <w:b/>
                <w:sz w:val="24"/>
                <w:szCs w:val="24"/>
              </w:rPr>
              <w:t>-</w:t>
            </w:r>
          </w:p>
        </w:tc>
        <w:tc>
          <w:tcPr>
            <w:tcW w:w="4858" w:type="dxa"/>
          </w:tcPr>
          <w:p w14:paraId="1DBF26A0" w14:textId="77777777" w:rsidR="00CF0B54" w:rsidRPr="003D12D2" w:rsidRDefault="00CF0B54" w:rsidP="00550613">
            <w:pPr>
              <w:ind w:left="993"/>
              <w:jc w:val="both"/>
              <w:rPr>
                <w:rFonts w:ascii="Verdana" w:eastAsia="Times New Roman" w:hAnsi="Verdana" w:cs="Arial"/>
                <w:b/>
                <w:spacing w:val="6"/>
                <w:sz w:val="20"/>
                <w:szCs w:val="20"/>
                <w:highlight w:val="yellow"/>
                <w:lang w:eastAsia="es-ES"/>
              </w:rPr>
            </w:pPr>
          </w:p>
          <w:p w14:paraId="498A980A" w14:textId="51B26332" w:rsidR="00CF0B54" w:rsidRPr="003D12D2" w:rsidRDefault="00CF0B54" w:rsidP="00550613">
            <w:pPr>
              <w:tabs>
                <w:tab w:val="left" w:pos="2367"/>
              </w:tabs>
              <w:jc w:val="both"/>
              <w:rPr>
                <w:rFonts w:ascii="Verdana" w:eastAsia="Times New Roman" w:hAnsi="Verdana" w:cs="Arial"/>
                <w:spacing w:val="6"/>
                <w:sz w:val="20"/>
                <w:szCs w:val="20"/>
                <w:highlight w:val="yellow"/>
                <w:lang w:eastAsia="es-ES"/>
              </w:rPr>
            </w:pPr>
            <w:r w:rsidRPr="003D12D2">
              <w:rPr>
                <w:rFonts w:ascii="Verdana" w:eastAsia="Times New Roman" w:hAnsi="Verdana" w:cs="Arial"/>
                <w:b/>
                <w:spacing w:val="6"/>
                <w:sz w:val="20"/>
                <w:szCs w:val="20"/>
                <w:highlight w:val="yellow"/>
                <w:lang w:eastAsia="es-ES"/>
              </w:rPr>
              <w:t xml:space="preserve">Artículo 6.1.13. </w:t>
            </w:r>
            <w:r w:rsidRPr="003D12D2">
              <w:rPr>
                <w:rFonts w:ascii="Verdana" w:eastAsia="Times New Roman" w:hAnsi="Verdana" w:cs="Arial"/>
                <w:b/>
                <w:spacing w:val="6"/>
                <w:sz w:val="20"/>
                <w:szCs w:val="20"/>
                <w:highlight w:val="yellow"/>
                <w:lang w:eastAsia="es-ES"/>
              </w:rPr>
              <w:tab/>
            </w:r>
            <w:r w:rsidRPr="003D12D2">
              <w:rPr>
                <w:rFonts w:ascii="Verdana" w:eastAsia="Times New Roman" w:hAnsi="Verdana" w:cs="Arial"/>
                <w:spacing w:val="6"/>
                <w:sz w:val="20"/>
                <w:szCs w:val="20"/>
                <w:highlight w:val="yellow"/>
                <w:lang w:eastAsia="es-ES"/>
              </w:rPr>
              <w:t>Las Zonas de Integración Urbana se determinarán mediante el siguiente procedimiento:</w:t>
            </w:r>
          </w:p>
          <w:p w14:paraId="64F79D3C" w14:textId="77777777" w:rsidR="00CF0B54" w:rsidRPr="003D12D2" w:rsidRDefault="00CF0B54" w:rsidP="00550613">
            <w:pPr>
              <w:tabs>
                <w:tab w:val="left" w:pos="1843"/>
              </w:tabs>
              <w:ind w:left="993"/>
              <w:jc w:val="both"/>
              <w:rPr>
                <w:rFonts w:ascii="Verdana" w:eastAsia="Times New Roman" w:hAnsi="Verdana" w:cs="Arial"/>
                <w:spacing w:val="6"/>
                <w:sz w:val="20"/>
                <w:szCs w:val="20"/>
                <w:highlight w:val="yellow"/>
                <w:lang w:eastAsia="es-ES"/>
              </w:rPr>
            </w:pPr>
          </w:p>
          <w:p w14:paraId="0A57EC54" w14:textId="77777777" w:rsidR="00CF0B54" w:rsidRPr="003D12D2" w:rsidRDefault="00CF0B54" w:rsidP="00550613">
            <w:pPr>
              <w:pStyle w:val="Prrafodelista"/>
              <w:numPr>
                <w:ilvl w:val="0"/>
                <w:numId w:val="13"/>
              </w:numPr>
              <w:tabs>
                <w:tab w:val="left" w:pos="1843"/>
              </w:tabs>
              <w:spacing w:line="276" w:lineRule="auto"/>
              <w:ind w:left="410"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 xml:space="preserve">La Secretaría Regional Ministerial de Vivienda y Urbanismo podrá proponer Zonas de Integración Urbana de oficio, a solicitud de una Municipalidad o de cualquier interesado, en un área determinada, siempre que cumpla con cuatro o más de las características que a continuación se especifican: </w:t>
            </w:r>
          </w:p>
          <w:p w14:paraId="6A120AB6" w14:textId="77777777" w:rsidR="00CF0B54" w:rsidRPr="003D12D2" w:rsidRDefault="00CF0B54" w:rsidP="00550613">
            <w:pPr>
              <w:tabs>
                <w:tab w:val="left" w:pos="1843"/>
              </w:tabs>
              <w:ind w:left="993"/>
              <w:jc w:val="both"/>
              <w:rPr>
                <w:rFonts w:ascii="Verdana" w:eastAsia="Times New Roman" w:hAnsi="Verdana" w:cs="Arial"/>
                <w:spacing w:val="6"/>
                <w:sz w:val="20"/>
                <w:szCs w:val="20"/>
                <w:highlight w:val="yellow"/>
                <w:lang w:eastAsia="es-ES"/>
              </w:rPr>
            </w:pPr>
          </w:p>
          <w:p w14:paraId="5131CACC" w14:textId="77777777" w:rsidR="00CF0B54" w:rsidRPr="003D12D2" w:rsidRDefault="00CF0B54" w:rsidP="00550613">
            <w:pPr>
              <w:pStyle w:val="Prrafodelista"/>
              <w:numPr>
                <w:ilvl w:val="2"/>
                <w:numId w:val="14"/>
              </w:numPr>
              <w:spacing w:line="276" w:lineRule="auto"/>
              <w:ind w:left="835"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Estar dentro de un radio de 500 metros en torno a establecimientos educacionales públicos con dos o más niveles de educación (</w:t>
            </w:r>
            <w:proofErr w:type="spellStart"/>
            <w:r w:rsidRPr="003D12D2">
              <w:rPr>
                <w:rFonts w:ascii="Verdana" w:eastAsia="Times New Roman" w:hAnsi="Verdana" w:cs="Arial"/>
                <w:spacing w:val="6"/>
                <w:sz w:val="20"/>
                <w:szCs w:val="20"/>
                <w:highlight w:val="yellow"/>
                <w:lang w:eastAsia="es-ES"/>
              </w:rPr>
              <w:t>prebásica</w:t>
            </w:r>
            <w:proofErr w:type="spellEnd"/>
            <w:r w:rsidRPr="003D12D2">
              <w:rPr>
                <w:rFonts w:ascii="Verdana" w:eastAsia="Times New Roman" w:hAnsi="Verdana" w:cs="Arial"/>
                <w:spacing w:val="6"/>
                <w:sz w:val="20"/>
                <w:szCs w:val="20"/>
                <w:highlight w:val="yellow"/>
                <w:lang w:eastAsia="es-ES"/>
              </w:rPr>
              <w:t>, básica y media);</w:t>
            </w:r>
          </w:p>
          <w:p w14:paraId="7E3DD669" w14:textId="77777777" w:rsidR="00CF0B54" w:rsidRPr="003D12D2" w:rsidRDefault="00CF0B54" w:rsidP="00550613">
            <w:pPr>
              <w:ind w:left="835" w:hanging="425"/>
              <w:jc w:val="both"/>
              <w:rPr>
                <w:rFonts w:ascii="Verdana" w:eastAsia="Times New Roman" w:hAnsi="Verdana" w:cs="Arial"/>
                <w:spacing w:val="6"/>
                <w:sz w:val="20"/>
                <w:szCs w:val="20"/>
                <w:highlight w:val="yellow"/>
                <w:lang w:eastAsia="es-ES"/>
              </w:rPr>
            </w:pPr>
          </w:p>
          <w:p w14:paraId="25578656" w14:textId="77777777" w:rsidR="00CF0B54" w:rsidRPr="003D12D2" w:rsidRDefault="00CF0B54" w:rsidP="00550613">
            <w:pPr>
              <w:pStyle w:val="Prrafodelista"/>
              <w:numPr>
                <w:ilvl w:val="2"/>
                <w:numId w:val="14"/>
              </w:numPr>
              <w:spacing w:line="276" w:lineRule="auto"/>
              <w:ind w:left="835"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 xml:space="preserve">Estar dentro de un radio de 500 metros en torno a establecimientos públicos de salud, con excepción de cementerios y crematorios; </w:t>
            </w:r>
          </w:p>
          <w:p w14:paraId="29C96563" w14:textId="77777777" w:rsidR="00CF0B54" w:rsidRPr="003D12D2" w:rsidRDefault="00CF0B54" w:rsidP="00550613">
            <w:pPr>
              <w:ind w:left="835" w:hanging="425"/>
              <w:jc w:val="both"/>
              <w:rPr>
                <w:rFonts w:ascii="Verdana" w:eastAsia="Times New Roman" w:hAnsi="Verdana" w:cs="Arial"/>
                <w:spacing w:val="6"/>
                <w:sz w:val="20"/>
                <w:szCs w:val="20"/>
                <w:highlight w:val="yellow"/>
                <w:lang w:eastAsia="es-ES"/>
              </w:rPr>
            </w:pPr>
          </w:p>
          <w:p w14:paraId="2E436022" w14:textId="77777777" w:rsidR="00CF0B54" w:rsidRPr="003D12D2" w:rsidRDefault="00CF0B54" w:rsidP="00550613">
            <w:pPr>
              <w:pStyle w:val="Prrafodelista"/>
              <w:numPr>
                <w:ilvl w:val="2"/>
                <w:numId w:val="14"/>
              </w:numPr>
              <w:spacing w:line="276" w:lineRule="auto"/>
              <w:ind w:left="835"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ab/>
              <w:t xml:space="preserve">Estar dentro de un radio de 300 metros,  contados desde un punto de acceso al sistema de transporte público, entre los que se incluyen paraderos de buses, </w:t>
            </w:r>
            <w:proofErr w:type="spellStart"/>
            <w:r w:rsidRPr="003D12D2">
              <w:rPr>
                <w:rFonts w:ascii="Verdana" w:eastAsia="Times New Roman" w:hAnsi="Verdana" w:cs="Arial"/>
                <w:spacing w:val="6"/>
                <w:sz w:val="20"/>
                <w:szCs w:val="20"/>
                <w:highlight w:val="yellow"/>
                <w:lang w:eastAsia="es-ES"/>
              </w:rPr>
              <w:t>taxibuses</w:t>
            </w:r>
            <w:proofErr w:type="spellEnd"/>
            <w:r w:rsidRPr="003D12D2">
              <w:rPr>
                <w:rFonts w:ascii="Verdana" w:eastAsia="Times New Roman" w:hAnsi="Verdana" w:cs="Arial"/>
                <w:spacing w:val="6"/>
                <w:sz w:val="20"/>
                <w:szCs w:val="20"/>
                <w:highlight w:val="yellow"/>
                <w:lang w:eastAsia="es-ES"/>
              </w:rPr>
              <w:t>, taxis colectivos o estaciones de tren urbano;</w:t>
            </w:r>
          </w:p>
          <w:p w14:paraId="69CBB1AB" w14:textId="77777777" w:rsidR="00CF0B54" w:rsidRPr="003D12D2" w:rsidRDefault="00CF0B54" w:rsidP="00550613">
            <w:pPr>
              <w:ind w:left="835" w:hanging="425"/>
              <w:jc w:val="both"/>
              <w:rPr>
                <w:rFonts w:ascii="Verdana" w:eastAsia="Times New Roman" w:hAnsi="Verdana" w:cs="Arial"/>
                <w:spacing w:val="6"/>
                <w:sz w:val="20"/>
                <w:szCs w:val="20"/>
                <w:highlight w:val="yellow"/>
                <w:lang w:eastAsia="es-ES"/>
              </w:rPr>
            </w:pPr>
          </w:p>
          <w:p w14:paraId="466BEB9A" w14:textId="77777777" w:rsidR="00CF0B54" w:rsidRPr="003D12D2" w:rsidRDefault="00CF0B54" w:rsidP="00550613">
            <w:pPr>
              <w:pStyle w:val="Prrafodelista"/>
              <w:numPr>
                <w:ilvl w:val="2"/>
                <w:numId w:val="14"/>
              </w:numPr>
              <w:spacing w:line="276" w:lineRule="auto"/>
              <w:ind w:left="835"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Estar dentro de un radio de 500 metros en torno a un equipamiento comercial, deportivo o cultural, de escala mediana o mayor;</w:t>
            </w:r>
          </w:p>
          <w:p w14:paraId="353A3DCD" w14:textId="77777777" w:rsidR="00CF0B54" w:rsidRPr="003D12D2" w:rsidRDefault="00CF0B54" w:rsidP="00550613">
            <w:pPr>
              <w:tabs>
                <w:tab w:val="left" w:pos="1843"/>
              </w:tabs>
              <w:ind w:left="1843" w:hanging="425"/>
              <w:jc w:val="both"/>
              <w:rPr>
                <w:rFonts w:ascii="Verdana" w:eastAsia="Times New Roman" w:hAnsi="Verdana" w:cs="Arial"/>
                <w:spacing w:val="6"/>
                <w:sz w:val="20"/>
                <w:szCs w:val="20"/>
                <w:highlight w:val="yellow"/>
                <w:lang w:eastAsia="es-ES"/>
              </w:rPr>
            </w:pPr>
          </w:p>
          <w:p w14:paraId="1661A68F" w14:textId="77777777" w:rsidR="00CF0B54" w:rsidRPr="003D12D2" w:rsidRDefault="00CF0B54" w:rsidP="00550613">
            <w:pPr>
              <w:pStyle w:val="Prrafodelista"/>
              <w:numPr>
                <w:ilvl w:val="2"/>
                <w:numId w:val="14"/>
              </w:numPr>
              <w:spacing w:line="276" w:lineRule="auto"/>
              <w:ind w:left="835"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Estar dentro de un radio de 500 metros en torno a un parque o área verde pública de una superficie mayor a 5.000 metros cuadrados.</w:t>
            </w:r>
          </w:p>
          <w:p w14:paraId="3B3F818F" w14:textId="77777777" w:rsidR="00CF0B54" w:rsidRPr="003D12D2" w:rsidRDefault="00CF0B54" w:rsidP="00550613">
            <w:pPr>
              <w:tabs>
                <w:tab w:val="left" w:pos="1843"/>
              </w:tabs>
              <w:ind w:left="1843" w:hanging="425"/>
              <w:jc w:val="both"/>
              <w:rPr>
                <w:rFonts w:ascii="Verdana" w:eastAsia="Times New Roman" w:hAnsi="Verdana" w:cs="Arial"/>
                <w:spacing w:val="6"/>
                <w:sz w:val="20"/>
                <w:szCs w:val="20"/>
                <w:highlight w:val="yellow"/>
                <w:lang w:eastAsia="es-ES"/>
              </w:rPr>
            </w:pPr>
          </w:p>
          <w:p w14:paraId="0E5A1AFA" w14:textId="77777777" w:rsidR="00CF0B54" w:rsidRPr="003D12D2" w:rsidRDefault="00CF0B54" w:rsidP="00550613">
            <w:pPr>
              <w:pStyle w:val="Prrafodelista"/>
              <w:numPr>
                <w:ilvl w:val="2"/>
                <w:numId w:val="14"/>
              </w:numPr>
              <w:spacing w:line="276" w:lineRule="auto"/>
              <w:ind w:left="835"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Estar a una distancia máxima de 200 metros contados desde el eje de una vía de servicio o de rango superior existente.</w:t>
            </w:r>
          </w:p>
          <w:p w14:paraId="31C99BFF" w14:textId="77777777" w:rsidR="00CF0B54" w:rsidRPr="003D12D2" w:rsidRDefault="00CF0B54" w:rsidP="00550613">
            <w:pPr>
              <w:tabs>
                <w:tab w:val="left" w:pos="1843"/>
              </w:tabs>
              <w:ind w:left="993" w:hanging="425"/>
              <w:jc w:val="both"/>
              <w:rPr>
                <w:rFonts w:ascii="Verdana" w:eastAsia="Times New Roman" w:hAnsi="Verdana" w:cs="Arial"/>
                <w:spacing w:val="6"/>
                <w:sz w:val="20"/>
                <w:szCs w:val="20"/>
                <w:highlight w:val="yellow"/>
                <w:lang w:eastAsia="es-ES"/>
              </w:rPr>
            </w:pPr>
          </w:p>
          <w:p w14:paraId="1E7261CD" w14:textId="77777777" w:rsidR="00CF0B54" w:rsidRPr="003D12D2" w:rsidRDefault="00CF0B54" w:rsidP="00550613">
            <w:pPr>
              <w:tabs>
                <w:tab w:val="left" w:pos="1843"/>
              </w:tabs>
              <w:ind w:left="410"/>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 xml:space="preserve">Para que cualquiera de las características señaladas sea considerada como válida, será requisito adicional que desde cualquier punto al interior de dichas áreas, se pueda acceder peatonalmente a los establecimientos, equipamientos, áreas vías y demás elementos mencionados, sin salir del área respectiva. </w:t>
            </w:r>
          </w:p>
          <w:p w14:paraId="251EB8FC" w14:textId="77777777" w:rsidR="00CF0B54" w:rsidRPr="003D12D2" w:rsidRDefault="00CF0B54" w:rsidP="00550613">
            <w:pPr>
              <w:tabs>
                <w:tab w:val="left" w:pos="1843"/>
              </w:tabs>
              <w:ind w:left="410" w:hanging="425"/>
              <w:jc w:val="both"/>
              <w:rPr>
                <w:rFonts w:ascii="Verdana" w:eastAsia="Times New Roman" w:hAnsi="Verdana" w:cs="Arial"/>
                <w:spacing w:val="6"/>
                <w:sz w:val="20"/>
                <w:szCs w:val="20"/>
                <w:highlight w:val="yellow"/>
                <w:lang w:eastAsia="es-ES"/>
              </w:rPr>
            </w:pPr>
          </w:p>
          <w:p w14:paraId="26AB6846" w14:textId="77777777" w:rsidR="00CF0B54" w:rsidRPr="003D12D2" w:rsidRDefault="00CF0B54" w:rsidP="00550613">
            <w:pPr>
              <w:tabs>
                <w:tab w:val="left" w:pos="1843"/>
              </w:tabs>
              <w:ind w:left="410"/>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Excepcionalmente, el Ministerio de Vivienda y Urbanismo, a proposición de la Secretaría Regional Ministerial de Vivienda y Urbanismo de la Región respectiva, podrá iniciar el procedimiento de definición de Zonas de Integración Urbana en áreas que no cumplan con los cuatro requisitos mínimos exigidos en el encabezado de este literal, siempre y cuando exista una inversión pública con permiso, en ejecución, o con recomendación favorable en el sistema nacional de inversiones que asegure el cumplimiento de las condiciones estipuladas en un plazo no mayor a dos años.</w:t>
            </w:r>
          </w:p>
          <w:p w14:paraId="18CC1F45" w14:textId="77777777" w:rsidR="00CF0B54" w:rsidRPr="003D12D2" w:rsidRDefault="00CF0B54" w:rsidP="00550613">
            <w:pPr>
              <w:tabs>
                <w:tab w:val="left" w:pos="1843"/>
              </w:tabs>
              <w:ind w:left="410"/>
              <w:jc w:val="both"/>
              <w:rPr>
                <w:rFonts w:ascii="Verdana" w:eastAsia="Times New Roman" w:hAnsi="Verdana" w:cs="Arial"/>
                <w:spacing w:val="6"/>
                <w:sz w:val="20"/>
                <w:szCs w:val="20"/>
                <w:highlight w:val="yellow"/>
                <w:lang w:eastAsia="es-ES"/>
              </w:rPr>
            </w:pPr>
          </w:p>
          <w:p w14:paraId="69D86BBC" w14:textId="77777777" w:rsidR="00CF0B54" w:rsidRPr="003D12D2" w:rsidRDefault="00CF0B54" w:rsidP="00550613">
            <w:pPr>
              <w:tabs>
                <w:tab w:val="left" w:pos="1843"/>
              </w:tabs>
              <w:ind w:left="410"/>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Asimismo, cuando un área determinada cumpla con el requisito descrito en el numeral v) anterior, respecto a un parque o área verde públicos, solo se requerirá que esta cumpla con dos o más características adicionales para poder establecer la Zona de Integración.</w:t>
            </w:r>
          </w:p>
          <w:p w14:paraId="2EAA0B0D" w14:textId="77777777" w:rsidR="00CF0B54" w:rsidRPr="003D12D2" w:rsidRDefault="00CF0B54" w:rsidP="00550613">
            <w:pPr>
              <w:tabs>
                <w:tab w:val="left" w:pos="1843"/>
              </w:tabs>
              <w:ind w:left="993"/>
              <w:jc w:val="both"/>
              <w:rPr>
                <w:rFonts w:ascii="Verdana" w:eastAsia="Times New Roman" w:hAnsi="Verdana" w:cs="Arial"/>
                <w:spacing w:val="6"/>
                <w:sz w:val="20"/>
                <w:szCs w:val="20"/>
                <w:highlight w:val="yellow"/>
                <w:lang w:eastAsia="es-ES"/>
              </w:rPr>
            </w:pPr>
          </w:p>
          <w:p w14:paraId="4C76BFF3" w14:textId="77777777" w:rsidR="00CF0B54" w:rsidRPr="003D12D2" w:rsidRDefault="00CF0B54" w:rsidP="00550613">
            <w:pPr>
              <w:pStyle w:val="Prrafodelista"/>
              <w:numPr>
                <w:ilvl w:val="0"/>
                <w:numId w:val="13"/>
              </w:numPr>
              <w:tabs>
                <w:tab w:val="left" w:pos="1843"/>
              </w:tabs>
              <w:spacing w:line="276" w:lineRule="auto"/>
              <w:ind w:left="410"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A continuación, la Secretaría Regional Ministerial de Vivienda y Urbanismo de la Región respectiva, deberá definir el polígono específico correspondiente a la Zona de Integración Urbana, considerando los contenidos establecidos en el artículo 6.1.14 de esta Ordenanza.</w:t>
            </w:r>
          </w:p>
          <w:p w14:paraId="02AE9909" w14:textId="77777777" w:rsidR="00CF0B54" w:rsidRPr="003D12D2" w:rsidRDefault="00CF0B54" w:rsidP="00550613">
            <w:pPr>
              <w:pStyle w:val="Prrafodelista"/>
              <w:tabs>
                <w:tab w:val="left" w:pos="1843"/>
              </w:tabs>
              <w:ind w:left="410"/>
              <w:jc w:val="both"/>
              <w:rPr>
                <w:rFonts w:ascii="Verdana" w:eastAsia="Times New Roman" w:hAnsi="Verdana" w:cs="Arial"/>
                <w:spacing w:val="6"/>
                <w:sz w:val="20"/>
                <w:szCs w:val="20"/>
                <w:highlight w:val="yellow"/>
                <w:lang w:eastAsia="es-ES"/>
              </w:rPr>
            </w:pPr>
          </w:p>
          <w:p w14:paraId="7F3193E1" w14:textId="77777777" w:rsidR="00CF0B54" w:rsidRPr="003D12D2" w:rsidRDefault="00CF0B54" w:rsidP="00550613">
            <w:pPr>
              <w:pStyle w:val="Prrafodelista"/>
              <w:numPr>
                <w:ilvl w:val="0"/>
                <w:numId w:val="13"/>
              </w:numPr>
              <w:tabs>
                <w:tab w:val="left" w:pos="1843"/>
              </w:tabs>
              <w:spacing w:line="276" w:lineRule="auto"/>
              <w:ind w:left="410" w:hanging="425"/>
              <w:jc w:val="both"/>
              <w:rPr>
                <w:rFonts w:ascii="Verdana" w:eastAsia="Times New Roman" w:hAnsi="Verdana" w:cs="Arial"/>
                <w:spacing w:val="6"/>
                <w:sz w:val="20"/>
                <w:szCs w:val="20"/>
                <w:highlight w:val="yellow"/>
                <w:lang w:eastAsia="es-ES"/>
              </w:rPr>
            </w:pPr>
            <w:r w:rsidRPr="003D12D2">
              <w:rPr>
                <w:rFonts w:ascii="Verdana" w:hAnsi="Verdana"/>
                <w:sz w:val="20"/>
                <w:szCs w:val="20"/>
                <w:highlight w:val="yellow"/>
                <w:lang w:eastAsia="es-ES"/>
              </w:rPr>
              <w:t>La definición de la Zona de Integración Urbana y sus contenidos, deberán remitirse a la municipalidad o municipalidades cuyo territorio comunal esté comprendido en ella</w:t>
            </w:r>
            <w:r w:rsidRPr="003D12D2">
              <w:rPr>
                <w:rFonts w:ascii="Verdana" w:eastAsia="Times New Roman" w:hAnsi="Verdana" w:cs="Arial"/>
                <w:spacing w:val="6"/>
                <w:sz w:val="20"/>
                <w:szCs w:val="20"/>
                <w:highlight w:val="yellow"/>
                <w:lang w:eastAsia="es-ES"/>
              </w:rPr>
              <w:t xml:space="preserve">, las que tendrán un plazo máximo de 60 días corridos, contados desde su recepción, para emitir observaciones. </w:t>
            </w:r>
          </w:p>
          <w:p w14:paraId="2C0325FD" w14:textId="77777777" w:rsidR="00CF0B54" w:rsidRPr="003D12D2" w:rsidRDefault="00CF0B54" w:rsidP="00550613">
            <w:pPr>
              <w:tabs>
                <w:tab w:val="left" w:pos="1843"/>
              </w:tabs>
              <w:ind w:left="993"/>
              <w:jc w:val="both"/>
              <w:rPr>
                <w:rFonts w:ascii="Verdana" w:eastAsia="Times New Roman" w:hAnsi="Verdana" w:cs="Arial"/>
                <w:spacing w:val="6"/>
                <w:sz w:val="20"/>
                <w:szCs w:val="20"/>
                <w:highlight w:val="yellow"/>
                <w:lang w:eastAsia="es-ES"/>
              </w:rPr>
            </w:pPr>
          </w:p>
          <w:p w14:paraId="0FD52012" w14:textId="77777777" w:rsidR="00CF0B54" w:rsidRPr="003D12D2" w:rsidRDefault="00CF0B54" w:rsidP="00550613">
            <w:pPr>
              <w:pStyle w:val="Prrafodelista"/>
              <w:numPr>
                <w:ilvl w:val="0"/>
                <w:numId w:val="13"/>
              </w:numPr>
              <w:tabs>
                <w:tab w:val="left" w:pos="1843"/>
              </w:tabs>
              <w:spacing w:line="276" w:lineRule="auto"/>
              <w:ind w:left="410" w:hanging="425"/>
              <w:jc w:val="both"/>
              <w:rPr>
                <w:rFonts w:ascii="Verdana" w:eastAsia="Times New Roman" w:hAnsi="Verdana" w:cs="Arial"/>
                <w:spacing w:val="6"/>
                <w:sz w:val="20"/>
                <w:szCs w:val="20"/>
                <w:highlight w:val="yellow"/>
                <w:lang w:eastAsia="es-ES"/>
              </w:rPr>
            </w:pPr>
            <w:r w:rsidRPr="003D12D2">
              <w:rPr>
                <w:rFonts w:ascii="Verdana" w:hAnsi="Verdana"/>
                <w:sz w:val="20"/>
                <w:szCs w:val="20"/>
                <w:highlight w:val="yellow"/>
              </w:rPr>
              <w:t xml:space="preserve">El Secretario Regional Ministerial de Vivienda y Urbanismo de la Región respectiva ponderará las observaciones realizadas por los municipios, si las hubiere, y fundado en ellas podrá modificar la propuesta, remitiendo los antecedentes de la Zona de Integración Urbana al Ministerio de Vivienda y Urbanismo para su aprobación mediante Resolución. De no presentar observaciones las municipalidades dentro de plazo, la propuesta será enviada al Ministerio sin más trámite. </w:t>
            </w:r>
          </w:p>
          <w:p w14:paraId="7E3C1F1D" w14:textId="77777777" w:rsidR="00CF0B54" w:rsidRPr="003D12D2" w:rsidRDefault="00CF0B54" w:rsidP="00550613">
            <w:pPr>
              <w:pStyle w:val="Prrafodelista"/>
              <w:ind w:left="0"/>
              <w:jc w:val="both"/>
              <w:rPr>
                <w:rFonts w:ascii="Verdana" w:eastAsia="Times New Roman" w:hAnsi="Verdana" w:cs="Arial"/>
                <w:spacing w:val="6"/>
                <w:sz w:val="20"/>
                <w:szCs w:val="20"/>
                <w:highlight w:val="yellow"/>
                <w:lang w:eastAsia="es-ES"/>
              </w:rPr>
            </w:pPr>
          </w:p>
          <w:p w14:paraId="0443C567" w14:textId="77777777" w:rsidR="00CF0B54" w:rsidRPr="003D12D2" w:rsidRDefault="00CF0B54" w:rsidP="00550613">
            <w:pPr>
              <w:pStyle w:val="Prrafodelista"/>
              <w:numPr>
                <w:ilvl w:val="0"/>
                <w:numId w:val="13"/>
              </w:numPr>
              <w:tabs>
                <w:tab w:val="left" w:pos="1843"/>
              </w:tabs>
              <w:spacing w:line="276" w:lineRule="auto"/>
              <w:ind w:left="410" w:hanging="425"/>
              <w:jc w:val="both"/>
              <w:rPr>
                <w:rFonts w:cs="Arial"/>
                <w:sz w:val="24"/>
                <w:szCs w:val="24"/>
                <w:highlight w:val="yellow"/>
              </w:rPr>
            </w:pPr>
            <w:r w:rsidRPr="003D12D2">
              <w:rPr>
                <w:rFonts w:ascii="Verdana" w:eastAsia="Times New Roman" w:hAnsi="Verdana" w:cs="Arial"/>
                <w:spacing w:val="6"/>
                <w:sz w:val="20"/>
                <w:szCs w:val="20"/>
                <w:highlight w:val="yellow"/>
                <w:lang w:eastAsia="es-ES"/>
              </w:rPr>
              <w:t xml:space="preserve">El Ministerio de </w:t>
            </w:r>
            <w:r w:rsidRPr="003D12D2">
              <w:rPr>
                <w:rFonts w:ascii="Verdana" w:hAnsi="Verdana"/>
                <w:sz w:val="20"/>
                <w:szCs w:val="20"/>
                <w:highlight w:val="yellow"/>
              </w:rPr>
              <w:t>Vivienda</w:t>
            </w:r>
            <w:r w:rsidRPr="003D12D2">
              <w:rPr>
                <w:rFonts w:ascii="Verdana" w:eastAsia="Times New Roman" w:hAnsi="Verdana" w:cs="Arial"/>
                <w:spacing w:val="6"/>
                <w:sz w:val="20"/>
                <w:szCs w:val="20"/>
                <w:highlight w:val="yellow"/>
                <w:lang w:eastAsia="es-ES"/>
              </w:rPr>
              <w:t xml:space="preserve"> y Urbanismo publicará en el Diario Oficial la Resolución que aprueba la Zona de Integración Urbana, que incluirá los contenidos descritos en el artículo 6.1.14. Todas las resoluciones se publicarán en la página web del Ministerio de Vivienda y Urbanismo.</w:t>
            </w:r>
          </w:p>
          <w:p w14:paraId="211FDE7A" w14:textId="63828DCD" w:rsidR="00CF0B54" w:rsidRPr="003D12D2" w:rsidRDefault="00CF0B54" w:rsidP="003D12D2">
            <w:pPr>
              <w:tabs>
                <w:tab w:val="left" w:pos="1843"/>
              </w:tabs>
              <w:spacing w:line="276" w:lineRule="auto"/>
              <w:jc w:val="both"/>
              <w:rPr>
                <w:rFonts w:cs="Arial"/>
                <w:sz w:val="24"/>
                <w:szCs w:val="24"/>
                <w:highlight w:val="yellow"/>
              </w:rPr>
            </w:pPr>
          </w:p>
        </w:tc>
        <w:tc>
          <w:tcPr>
            <w:tcW w:w="3937" w:type="dxa"/>
          </w:tcPr>
          <w:p w14:paraId="272EED09" w14:textId="77777777" w:rsidR="00CF0B54" w:rsidRPr="003D12D2" w:rsidRDefault="00CF0B54" w:rsidP="00550613">
            <w:pPr>
              <w:ind w:left="993"/>
              <w:jc w:val="both"/>
              <w:rPr>
                <w:rFonts w:ascii="Verdana" w:eastAsia="Times New Roman" w:hAnsi="Verdana" w:cs="Arial"/>
                <w:b/>
                <w:spacing w:val="6"/>
                <w:sz w:val="20"/>
                <w:szCs w:val="20"/>
                <w:highlight w:val="yellow"/>
                <w:lang w:eastAsia="es-ES"/>
              </w:rPr>
            </w:pPr>
          </w:p>
        </w:tc>
      </w:tr>
      <w:tr w:rsidR="00CF0B54" w:rsidRPr="00751151" w14:paraId="1977577C" w14:textId="4E48387A" w:rsidTr="00CF0B54">
        <w:trPr>
          <w:trHeight w:val="907"/>
        </w:trPr>
        <w:tc>
          <w:tcPr>
            <w:tcW w:w="4858" w:type="dxa"/>
          </w:tcPr>
          <w:p w14:paraId="7B499C85" w14:textId="77777777" w:rsidR="00CF0B54" w:rsidRDefault="00CF0B54" w:rsidP="00043937">
            <w:pPr>
              <w:autoSpaceDE w:val="0"/>
              <w:autoSpaceDN w:val="0"/>
              <w:adjustRightInd w:val="0"/>
              <w:rPr>
                <w:rFonts w:cs="Arial"/>
                <w:b/>
                <w:sz w:val="24"/>
                <w:szCs w:val="24"/>
              </w:rPr>
            </w:pPr>
          </w:p>
          <w:p w14:paraId="28F7B5D3" w14:textId="77777777" w:rsidR="00CF0B54" w:rsidRDefault="00CF0B54" w:rsidP="003D12D2">
            <w:pPr>
              <w:autoSpaceDE w:val="0"/>
              <w:autoSpaceDN w:val="0"/>
              <w:adjustRightInd w:val="0"/>
              <w:jc w:val="center"/>
              <w:rPr>
                <w:rFonts w:cs="Arial"/>
                <w:b/>
                <w:sz w:val="24"/>
                <w:szCs w:val="24"/>
              </w:rPr>
            </w:pPr>
          </w:p>
          <w:p w14:paraId="5F987166" w14:textId="0389AE57" w:rsidR="00CF0B54" w:rsidRPr="00751151" w:rsidRDefault="00CF0B54" w:rsidP="003D12D2">
            <w:pPr>
              <w:autoSpaceDE w:val="0"/>
              <w:autoSpaceDN w:val="0"/>
              <w:adjustRightInd w:val="0"/>
              <w:jc w:val="center"/>
              <w:rPr>
                <w:rFonts w:cs="Arial"/>
                <w:sz w:val="24"/>
                <w:szCs w:val="24"/>
              </w:rPr>
            </w:pPr>
            <w:r w:rsidRPr="00B210CD">
              <w:rPr>
                <w:rFonts w:cs="Arial"/>
                <w:b/>
                <w:sz w:val="24"/>
                <w:szCs w:val="24"/>
              </w:rPr>
              <w:t>-</w:t>
            </w:r>
          </w:p>
        </w:tc>
        <w:tc>
          <w:tcPr>
            <w:tcW w:w="4858" w:type="dxa"/>
          </w:tcPr>
          <w:p w14:paraId="671FDA0A" w14:textId="77777777" w:rsidR="00CF0B54" w:rsidRPr="003D12D2" w:rsidRDefault="00CF0B54" w:rsidP="00550613">
            <w:pPr>
              <w:tabs>
                <w:tab w:val="left" w:pos="1843"/>
              </w:tabs>
              <w:jc w:val="both"/>
              <w:rPr>
                <w:rFonts w:ascii="Verdana" w:eastAsia="Times New Roman" w:hAnsi="Verdana" w:cs="Arial"/>
                <w:spacing w:val="6"/>
                <w:sz w:val="20"/>
                <w:szCs w:val="20"/>
                <w:highlight w:val="yellow"/>
                <w:lang w:eastAsia="es-ES"/>
              </w:rPr>
            </w:pPr>
            <w:r w:rsidRPr="003D12D2">
              <w:rPr>
                <w:rFonts w:ascii="Verdana" w:eastAsia="Times New Roman" w:hAnsi="Verdana" w:cs="Arial"/>
                <w:b/>
                <w:spacing w:val="6"/>
                <w:sz w:val="20"/>
                <w:szCs w:val="20"/>
                <w:highlight w:val="yellow"/>
                <w:lang w:eastAsia="es-ES"/>
              </w:rPr>
              <w:t>Artículo 6.1.14.</w:t>
            </w:r>
            <w:r w:rsidRPr="003D12D2">
              <w:rPr>
                <w:highlight w:val="yellow"/>
              </w:rPr>
              <w:t xml:space="preserve"> </w:t>
            </w:r>
            <w:r w:rsidRPr="003D12D2">
              <w:rPr>
                <w:rFonts w:ascii="Verdana" w:hAnsi="Verdana"/>
                <w:sz w:val="20"/>
                <w:szCs w:val="20"/>
                <w:highlight w:val="yellow"/>
              </w:rPr>
              <w:t>La propuesta de Zona de Integración Urbana de la Secretaría Regional Ministerial de Vivienda y Urbanismo, que se someterá a consulta municipal, deberá contener</w:t>
            </w:r>
            <w:r w:rsidRPr="003D12D2">
              <w:rPr>
                <w:rFonts w:ascii="Verdana" w:eastAsia="Times New Roman" w:hAnsi="Verdana" w:cs="Arial"/>
                <w:spacing w:val="6"/>
                <w:sz w:val="20"/>
                <w:szCs w:val="20"/>
                <w:highlight w:val="yellow"/>
                <w:lang w:eastAsia="es-ES"/>
              </w:rPr>
              <w:t>:</w:t>
            </w:r>
          </w:p>
          <w:p w14:paraId="4BFCA1BA" w14:textId="77777777" w:rsidR="00CF0B54" w:rsidRPr="003D12D2" w:rsidRDefault="00CF0B54" w:rsidP="00550613">
            <w:pPr>
              <w:tabs>
                <w:tab w:val="left" w:pos="1843"/>
              </w:tabs>
              <w:ind w:left="1418" w:hanging="425"/>
              <w:jc w:val="both"/>
              <w:rPr>
                <w:rFonts w:ascii="Verdana" w:eastAsia="Times New Roman" w:hAnsi="Verdana" w:cs="Arial"/>
                <w:spacing w:val="6"/>
                <w:sz w:val="20"/>
                <w:szCs w:val="20"/>
                <w:highlight w:val="yellow"/>
                <w:lang w:eastAsia="es-ES"/>
              </w:rPr>
            </w:pPr>
          </w:p>
          <w:p w14:paraId="35D52C38" w14:textId="77777777" w:rsidR="00CF0B54" w:rsidRPr="003D12D2" w:rsidRDefault="00CF0B54" w:rsidP="00550613">
            <w:pPr>
              <w:pStyle w:val="Prrafodelista"/>
              <w:numPr>
                <w:ilvl w:val="0"/>
                <w:numId w:val="15"/>
              </w:numPr>
              <w:tabs>
                <w:tab w:val="left" w:pos="1843"/>
              </w:tabs>
              <w:spacing w:line="276" w:lineRule="auto"/>
              <w:ind w:left="410"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Plano del polígono de la Zona de Integración Urbana;</w:t>
            </w:r>
          </w:p>
          <w:p w14:paraId="4E0E3D67" w14:textId="77777777" w:rsidR="00CF0B54" w:rsidRPr="003D12D2" w:rsidRDefault="00CF0B54" w:rsidP="00550613">
            <w:pPr>
              <w:pStyle w:val="Prrafodelista"/>
              <w:ind w:left="410"/>
              <w:jc w:val="both"/>
              <w:rPr>
                <w:rFonts w:ascii="Verdana" w:eastAsia="Times New Roman" w:hAnsi="Verdana" w:cs="Arial"/>
                <w:spacing w:val="6"/>
                <w:sz w:val="20"/>
                <w:szCs w:val="20"/>
                <w:highlight w:val="yellow"/>
                <w:lang w:eastAsia="es-ES"/>
              </w:rPr>
            </w:pPr>
          </w:p>
          <w:p w14:paraId="13568930" w14:textId="77777777" w:rsidR="00CF0B54" w:rsidRPr="003D12D2" w:rsidRDefault="00CF0B54" w:rsidP="00550613">
            <w:pPr>
              <w:pStyle w:val="Prrafodelista"/>
              <w:numPr>
                <w:ilvl w:val="0"/>
                <w:numId w:val="15"/>
              </w:numPr>
              <w:tabs>
                <w:tab w:val="left" w:pos="1843"/>
              </w:tabs>
              <w:spacing w:line="276" w:lineRule="auto"/>
              <w:ind w:left="410" w:hanging="425"/>
              <w:jc w:val="both"/>
              <w:rPr>
                <w:rFonts w:ascii="Verdana" w:eastAsia="Times New Roman" w:hAnsi="Verdana" w:cs="Arial"/>
                <w:strike/>
                <w:spacing w:val="6"/>
                <w:sz w:val="20"/>
                <w:szCs w:val="20"/>
                <w:highlight w:val="yellow"/>
                <w:lang w:eastAsia="es-ES"/>
              </w:rPr>
            </w:pPr>
            <w:r w:rsidRPr="003D12D2">
              <w:rPr>
                <w:rFonts w:ascii="Verdana" w:eastAsia="Times New Roman" w:hAnsi="Verdana" w:cs="Arial"/>
                <w:spacing w:val="6"/>
                <w:sz w:val="20"/>
                <w:szCs w:val="20"/>
                <w:highlight w:val="yellow"/>
                <w:lang w:eastAsia="es-ES"/>
              </w:rPr>
              <w:t xml:space="preserve">Beneficios de normas urbanísticas para la generación de viviendas aplicables a la Zona de Integración Urbana, consistentes en aumentos porcentuales respecto de todas o algunas de las siguientes normas urbanísticas establecidas en el Instrumento de Planificación Territorial vigente: coeficiente de constructibilidad, coeficiente de ocupación de suelo o de los pisos superiores, altura máxima de edificación y densidad máxima. </w:t>
            </w:r>
          </w:p>
          <w:p w14:paraId="79D9B812" w14:textId="77777777" w:rsidR="00CF0B54" w:rsidRPr="003D12D2" w:rsidRDefault="00CF0B54" w:rsidP="00550613">
            <w:pPr>
              <w:pStyle w:val="Prrafodelista"/>
              <w:rPr>
                <w:rFonts w:ascii="Verdana" w:eastAsia="Times New Roman" w:hAnsi="Verdana" w:cs="Arial"/>
                <w:strike/>
                <w:spacing w:val="6"/>
                <w:sz w:val="20"/>
                <w:szCs w:val="20"/>
                <w:highlight w:val="yellow"/>
                <w:lang w:eastAsia="es-ES"/>
              </w:rPr>
            </w:pPr>
          </w:p>
          <w:p w14:paraId="30778F3D" w14:textId="77777777" w:rsidR="00CF0B54" w:rsidRPr="003D12D2" w:rsidRDefault="00CF0B54" w:rsidP="00550613">
            <w:pPr>
              <w:pStyle w:val="Prrafodelista"/>
              <w:tabs>
                <w:tab w:val="left" w:pos="1843"/>
              </w:tabs>
              <w:ind w:left="410"/>
              <w:jc w:val="both"/>
              <w:rPr>
                <w:rFonts w:ascii="Verdana" w:eastAsia="Times New Roman" w:hAnsi="Verdana" w:cs="Arial"/>
                <w:color w:val="000000" w:themeColor="text1"/>
                <w:spacing w:val="6"/>
                <w:sz w:val="20"/>
                <w:szCs w:val="20"/>
                <w:highlight w:val="yellow"/>
                <w:lang w:eastAsia="es-ES"/>
              </w:rPr>
            </w:pPr>
            <w:r w:rsidRPr="003D12D2">
              <w:rPr>
                <w:rFonts w:ascii="Verdana" w:eastAsia="Times New Roman" w:hAnsi="Verdana" w:cs="Arial"/>
                <w:color w:val="000000" w:themeColor="text1"/>
                <w:spacing w:val="6"/>
                <w:sz w:val="20"/>
                <w:szCs w:val="20"/>
                <w:highlight w:val="yellow"/>
                <w:lang w:eastAsia="es-ES"/>
              </w:rPr>
              <w:t xml:space="preserve">Los aumentos porcentuales respecto de las normas urbanísticas se determinarán a través de un estudio, </w:t>
            </w:r>
            <w:r w:rsidRPr="003D12D2">
              <w:rPr>
                <w:rFonts w:ascii="Verdana" w:eastAsia="Times New Roman" w:hAnsi="Verdana" w:cs="Arial"/>
                <w:spacing w:val="6"/>
                <w:sz w:val="20"/>
                <w:szCs w:val="20"/>
                <w:highlight w:val="yellow"/>
                <w:lang w:eastAsia="es-ES"/>
              </w:rPr>
              <w:t>elaborado la respectiva Secretaría Regional Ministerial de Vivienda y Urbanismo, sobre la base de una metodología que será aprobada por el Ministerio de Vivienda y Urbanismo mediante resolución, y</w:t>
            </w:r>
            <w:r w:rsidRPr="003D12D2">
              <w:rPr>
                <w:rFonts w:ascii="Verdana" w:eastAsia="Times New Roman" w:hAnsi="Verdana" w:cs="Arial"/>
                <w:color w:val="000000" w:themeColor="text1"/>
                <w:spacing w:val="6"/>
                <w:sz w:val="20"/>
                <w:szCs w:val="20"/>
                <w:highlight w:val="yellow"/>
                <w:lang w:eastAsia="es-ES"/>
              </w:rPr>
              <w:t xml:space="preserve"> deberá considerar al menos lo siguiente:</w:t>
            </w:r>
          </w:p>
          <w:p w14:paraId="75BEE502" w14:textId="77777777" w:rsidR="00CF0B54" w:rsidRPr="003D12D2" w:rsidRDefault="00CF0B54" w:rsidP="00550613">
            <w:pPr>
              <w:pStyle w:val="Prrafodelista"/>
              <w:tabs>
                <w:tab w:val="left" w:pos="1843"/>
              </w:tabs>
              <w:ind w:left="1418"/>
              <w:jc w:val="both"/>
              <w:rPr>
                <w:rFonts w:ascii="Verdana" w:eastAsia="Times New Roman" w:hAnsi="Verdana" w:cs="Arial"/>
                <w:color w:val="000000" w:themeColor="text1"/>
                <w:spacing w:val="6"/>
                <w:sz w:val="20"/>
                <w:szCs w:val="20"/>
                <w:highlight w:val="yellow"/>
                <w:lang w:eastAsia="es-ES"/>
              </w:rPr>
            </w:pPr>
          </w:p>
          <w:p w14:paraId="3764735D" w14:textId="77777777" w:rsidR="00CF0B54" w:rsidRPr="003D12D2" w:rsidRDefault="00CF0B54" w:rsidP="00550613">
            <w:pPr>
              <w:pStyle w:val="Prrafodelista"/>
              <w:numPr>
                <w:ilvl w:val="2"/>
                <w:numId w:val="16"/>
              </w:numPr>
              <w:spacing w:line="276" w:lineRule="auto"/>
              <w:ind w:left="835"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Las edificaciones y los volúmenes permitidos por la normativa vigente del Plan Regulador correspondiente al área en que se encuentra la Zona de Integración Urbana;</w:t>
            </w:r>
          </w:p>
          <w:p w14:paraId="23AA9785" w14:textId="77777777" w:rsidR="00CF0B54" w:rsidRPr="003D12D2" w:rsidRDefault="00CF0B54" w:rsidP="00550613">
            <w:pPr>
              <w:pStyle w:val="Prrafodelista"/>
              <w:ind w:left="835"/>
              <w:jc w:val="both"/>
              <w:rPr>
                <w:rFonts w:ascii="Verdana" w:eastAsia="Times New Roman" w:hAnsi="Verdana" w:cs="Arial"/>
                <w:spacing w:val="6"/>
                <w:sz w:val="20"/>
                <w:szCs w:val="20"/>
                <w:highlight w:val="yellow"/>
                <w:lang w:eastAsia="es-ES"/>
              </w:rPr>
            </w:pPr>
          </w:p>
          <w:p w14:paraId="62838FE6" w14:textId="77777777" w:rsidR="00CF0B54" w:rsidRPr="003D12D2" w:rsidRDefault="00CF0B54" w:rsidP="00550613">
            <w:pPr>
              <w:pStyle w:val="Prrafodelista"/>
              <w:numPr>
                <w:ilvl w:val="2"/>
                <w:numId w:val="16"/>
              </w:numPr>
              <w:spacing w:line="276" w:lineRule="auto"/>
              <w:ind w:left="835"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La diferencia entre el desarrollo inmobiliario permitido en la zona y el que se produciría de otorgarse beneficios, sin generar impactos negativos en el entorno;</w:t>
            </w:r>
          </w:p>
          <w:p w14:paraId="6C344870" w14:textId="77777777" w:rsidR="00CF0B54" w:rsidRPr="003D12D2" w:rsidRDefault="00CF0B54" w:rsidP="00550613">
            <w:pPr>
              <w:pStyle w:val="Prrafodelista"/>
              <w:ind w:left="835"/>
              <w:rPr>
                <w:rFonts w:ascii="Verdana" w:eastAsia="Times New Roman" w:hAnsi="Verdana" w:cs="Arial"/>
                <w:spacing w:val="6"/>
                <w:sz w:val="20"/>
                <w:szCs w:val="20"/>
                <w:highlight w:val="yellow"/>
                <w:lang w:eastAsia="es-ES"/>
              </w:rPr>
            </w:pPr>
          </w:p>
          <w:p w14:paraId="2CCBE162" w14:textId="77777777" w:rsidR="00CF0B54" w:rsidRPr="003D12D2" w:rsidRDefault="00CF0B54" w:rsidP="00550613">
            <w:pPr>
              <w:pStyle w:val="Prrafodelista"/>
              <w:numPr>
                <w:ilvl w:val="2"/>
                <w:numId w:val="16"/>
              </w:numPr>
              <w:spacing w:line="276" w:lineRule="auto"/>
              <w:ind w:left="835"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La capacidad actual y futura de los equipamientos y servicios cuya demanda aumentará en caso de ejecutarse proyectos de viviendas integradas al interior de la zona de integración urbana.</w:t>
            </w:r>
          </w:p>
          <w:p w14:paraId="24922746" w14:textId="77777777" w:rsidR="00CF0B54" w:rsidRPr="003D12D2" w:rsidRDefault="00CF0B54" w:rsidP="00550613">
            <w:pPr>
              <w:pStyle w:val="Prrafodelista"/>
              <w:ind w:left="835"/>
              <w:rPr>
                <w:rFonts w:ascii="Verdana" w:eastAsia="Times New Roman" w:hAnsi="Verdana" w:cs="Arial"/>
                <w:spacing w:val="6"/>
                <w:sz w:val="20"/>
                <w:szCs w:val="20"/>
                <w:highlight w:val="yellow"/>
                <w:lang w:eastAsia="es-ES"/>
              </w:rPr>
            </w:pPr>
          </w:p>
          <w:p w14:paraId="15F96486" w14:textId="77777777" w:rsidR="00CF0B54" w:rsidRPr="003D12D2" w:rsidRDefault="00CF0B54" w:rsidP="00550613">
            <w:pPr>
              <w:pStyle w:val="Prrafodelista"/>
              <w:numPr>
                <w:ilvl w:val="2"/>
                <w:numId w:val="16"/>
              </w:numPr>
              <w:spacing w:line="276" w:lineRule="auto"/>
              <w:ind w:left="835"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La relación entre los beneficios normativos y los porcentajes mínimos de viviendas destinadas a beneficiarios de programas habitacionales del Estado que deberán incluir los Proyectos de Viviendas Integradas, incluida la fundamentación de dicha relación.</w:t>
            </w:r>
          </w:p>
          <w:p w14:paraId="1B923615" w14:textId="77777777" w:rsidR="00CF0B54" w:rsidRPr="003D12D2" w:rsidRDefault="00CF0B54" w:rsidP="00550613">
            <w:pPr>
              <w:tabs>
                <w:tab w:val="left" w:pos="1843"/>
              </w:tabs>
              <w:ind w:left="1416"/>
              <w:jc w:val="both"/>
              <w:rPr>
                <w:rFonts w:ascii="Verdana" w:eastAsia="Times New Roman" w:hAnsi="Verdana" w:cs="Arial"/>
                <w:b/>
                <w:spacing w:val="6"/>
                <w:sz w:val="20"/>
                <w:szCs w:val="20"/>
                <w:highlight w:val="yellow"/>
                <w:lang w:eastAsia="es-ES"/>
              </w:rPr>
            </w:pPr>
          </w:p>
          <w:p w14:paraId="53318F75" w14:textId="77777777" w:rsidR="00CF0B54" w:rsidRPr="003D12D2" w:rsidRDefault="00CF0B54" w:rsidP="003D12D2">
            <w:pPr>
              <w:tabs>
                <w:tab w:val="left" w:pos="1843"/>
              </w:tabs>
              <w:ind w:left="410"/>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Cuando los aumentos porcentuales de las normas urbanísticas aludidas en el primer párrafo de este literal no superen un veinte por ciento, el estudio podrá incluir solo los contenidos descritos en la letra iv) anterior.</w:t>
            </w:r>
          </w:p>
          <w:p w14:paraId="2F594E73" w14:textId="77777777" w:rsidR="00CF0B54" w:rsidRPr="003D12D2" w:rsidRDefault="00CF0B54" w:rsidP="003D12D2">
            <w:pPr>
              <w:tabs>
                <w:tab w:val="left" w:pos="1843"/>
              </w:tabs>
              <w:ind w:left="410"/>
              <w:jc w:val="both"/>
              <w:rPr>
                <w:rFonts w:ascii="Verdana" w:eastAsia="Times New Roman" w:hAnsi="Verdana" w:cs="Arial"/>
                <w:spacing w:val="6"/>
                <w:sz w:val="20"/>
                <w:szCs w:val="20"/>
                <w:highlight w:val="yellow"/>
                <w:lang w:eastAsia="es-ES"/>
              </w:rPr>
            </w:pPr>
          </w:p>
          <w:p w14:paraId="10236E8B" w14:textId="77777777" w:rsidR="00CF0B54" w:rsidRPr="003D12D2" w:rsidRDefault="00CF0B54" w:rsidP="003D12D2">
            <w:pPr>
              <w:tabs>
                <w:tab w:val="left" w:pos="1843"/>
              </w:tabs>
              <w:ind w:left="410"/>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 xml:space="preserve">Los aumentos porcentuales de las normas urbanísticas que superen el cincuenta por ciento requerirán, para efectos de ser incluidas en la propuesta final de resolución que aprueba la Zona de Integración Urbana, contar con la opinión favorable de la Municipalidad en el marco de las observaciones que pueda emitir conforme al artículo 6.1.13. </w:t>
            </w:r>
            <w:proofErr w:type="gramStart"/>
            <w:r w:rsidRPr="003D12D2">
              <w:rPr>
                <w:rFonts w:ascii="Verdana" w:eastAsia="Times New Roman" w:hAnsi="Verdana" w:cs="Arial"/>
                <w:spacing w:val="6"/>
                <w:sz w:val="20"/>
                <w:szCs w:val="20"/>
                <w:highlight w:val="yellow"/>
                <w:lang w:eastAsia="es-ES"/>
              </w:rPr>
              <w:t>de</w:t>
            </w:r>
            <w:proofErr w:type="gramEnd"/>
            <w:r w:rsidRPr="003D12D2">
              <w:rPr>
                <w:rFonts w:ascii="Verdana" w:eastAsia="Times New Roman" w:hAnsi="Verdana" w:cs="Arial"/>
                <w:spacing w:val="6"/>
                <w:sz w:val="20"/>
                <w:szCs w:val="20"/>
                <w:highlight w:val="yellow"/>
                <w:lang w:eastAsia="es-ES"/>
              </w:rPr>
              <w:t xml:space="preserve"> esta Ordenanza. Esta última exigencia no será aplicable cuando se trate de un aumento en la altura máxima de edificación, de dos a cuatro pisos.</w:t>
            </w:r>
          </w:p>
          <w:p w14:paraId="3A547907" w14:textId="77777777" w:rsidR="00CF0B54" w:rsidRPr="003D12D2" w:rsidRDefault="00CF0B54" w:rsidP="00550613">
            <w:pPr>
              <w:tabs>
                <w:tab w:val="left" w:pos="1843"/>
              </w:tabs>
              <w:ind w:left="1418"/>
              <w:jc w:val="both"/>
              <w:rPr>
                <w:rFonts w:ascii="Verdana" w:eastAsia="Times New Roman" w:hAnsi="Verdana" w:cs="Arial"/>
                <w:spacing w:val="6"/>
                <w:sz w:val="20"/>
                <w:szCs w:val="20"/>
                <w:highlight w:val="yellow"/>
                <w:lang w:eastAsia="es-ES"/>
              </w:rPr>
            </w:pPr>
          </w:p>
          <w:p w14:paraId="55B3D3AA" w14:textId="77777777" w:rsidR="00CF0B54" w:rsidRPr="003D12D2" w:rsidRDefault="00CF0B54" w:rsidP="003D12D2">
            <w:pPr>
              <w:tabs>
                <w:tab w:val="left" w:pos="1843"/>
              </w:tabs>
              <w:ind w:left="410"/>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Con todo, los beneficios de normas urbanísticas, no podrán superar el cien por ciento, respecto de las normas vigentes.</w:t>
            </w:r>
          </w:p>
          <w:p w14:paraId="6ECBFD97" w14:textId="77777777" w:rsidR="00CF0B54" w:rsidRPr="003D12D2" w:rsidRDefault="00CF0B54" w:rsidP="00550613">
            <w:pPr>
              <w:tabs>
                <w:tab w:val="left" w:pos="1843"/>
              </w:tabs>
              <w:ind w:left="1418"/>
              <w:jc w:val="both"/>
              <w:rPr>
                <w:rFonts w:ascii="Verdana" w:eastAsia="Times New Roman" w:hAnsi="Verdana" w:cs="Arial"/>
                <w:spacing w:val="6"/>
                <w:sz w:val="20"/>
                <w:szCs w:val="20"/>
                <w:highlight w:val="yellow"/>
                <w:lang w:eastAsia="es-ES"/>
              </w:rPr>
            </w:pPr>
          </w:p>
          <w:p w14:paraId="22CC8C15" w14:textId="77777777" w:rsidR="00CF0B54" w:rsidRPr="003D12D2" w:rsidRDefault="00CF0B54" w:rsidP="003D12D2">
            <w:pPr>
              <w:pStyle w:val="Prrafodelista"/>
              <w:numPr>
                <w:ilvl w:val="0"/>
                <w:numId w:val="15"/>
              </w:numPr>
              <w:tabs>
                <w:tab w:val="left" w:pos="1843"/>
              </w:tabs>
              <w:spacing w:line="276" w:lineRule="auto"/>
              <w:ind w:left="410"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Plazo de vigencia de la Zona de Integración Urbana a partir de su fecha de publicación, que no podrá ser menor a cinco años. Sin embargo, la Zona perderá su vigencia si se modifican las normas urbanísticas que la afectan;</w:t>
            </w:r>
          </w:p>
          <w:p w14:paraId="1C26CFC8" w14:textId="77777777" w:rsidR="00CF0B54" w:rsidRPr="003D12D2" w:rsidRDefault="00CF0B54" w:rsidP="003D12D2">
            <w:pPr>
              <w:tabs>
                <w:tab w:val="left" w:pos="1843"/>
              </w:tabs>
              <w:ind w:left="410"/>
              <w:jc w:val="both"/>
              <w:rPr>
                <w:rFonts w:ascii="Verdana" w:eastAsia="Times New Roman" w:hAnsi="Verdana" w:cs="Arial"/>
                <w:spacing w:val="6"/>
                <w:sz w:val="20"/>
                <w:szCs w:val="20"/>
                <w:highlight w:val="yellow"/>
                <w:lang w:eastAsia="es-ES"/>
              </w:rPr>
            </w:pPr>
          </w:p>
          <w:p w14:paraId="17FDF071" w14:textId="77777777" w:rsidR="00CF0B54" w:rsidRPr="003D12D2" w:rsidRDefault="00CF0B54" w:rsidP="003D12D2">
            <w:pPr>
              <w:pStyle w:val="Prrafodelista"/>
              <w:numPr>
                <w:ilvl w:val="0"/>
                <w:numId w:val="15"/>
              </w:numPr>
              <w:spacing w:after="200" w:line="276" w:lineRule="auto"/>
              <w:ind w:left="410" w:hanging="357"/>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 xml:space="preserve">Porcentajes mínimos de viviendas destinadas a beneficiarios de programas habitacionales del Estado que deberán incluir los Proyectos de Viviendas Integradas, que se determinarán en base al estudio del literal b) anterior, y que no podrán ser inferiores al 30% del incremento de unidades de vivienda que permitan los beneficios de normas urbanísticas otorgados. Estos porcentajes, deberán establecerse en función a los incrementos de las normas urbanísticas a que se refiere el literal a) de este artículo, y podrán detallar la distribución según los programas habitacionales existentes, siempre que dicha distribución sea fundamentada en el estudio ya mencionado. </w:t>
            </w:r>
          </w:p>
          <w:p w14:paraId="03FDEF27" w14:textId="77777777" w:rsidR="00CF0B54" w:rsidRPr="003D12D2" w:rsidRDefault="00CF0B54" w:rsidP="00550613">
            <w:pPr>
              <w:pStyle w:val="Prrafodelista"/>
              <w:jc w:val="both"/>
              <w:rPr>
                <w:rFonts w:ascii="Verdana" w:eastAsia="Times New Roman" w:hAnsi="Verdana" w:cs="Arial"/>
                <w:spacing w:val="6"/>
                <w:sz w:val="20"/>
                <w:szCs w:val="20"/>
                <w:highlight w:val="yellow"/>
                <w:lang w:eastAsia="es-ES"/>
              </w:rPr>
            </w:pPr>
          </w:p>
          <w:p w14:paraId="3FCC6550" w14:textId="77777777" w:rsidR="00CF0B54" w:rsidRPr="003D12D2" w:rsidRDefault="00CF0B54" w:rsidP="003D12D2">
            <w:pPr>
              <w:pStyle w:val="Prrafodelista"/>
              <w:ind w:left="410"/>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 xml:space="preserve">Las unidades a que se refiere el párrafo anterior, se calcularán tomando como base de cálculo, la cantidad de unidades de vivienda incrementadas por la aplicación de beneficios de normas urbanísticas.   Cuando de la aplicación del cálculo señalado resulte una fracción de unidad de vivienda, se aplicará lo dispuesto en el inciso segundo del artículo 1.4.8. </w:t>
            </w:r>
            <w:proofErr w:type="gramStart"/>
            <w:r w:rsidRPr="003D12D2">
              <w:rPr>
                <w:rFonts w:ascii="Verdana" w:eastAsia="Times New Roman" w:hAnsi="Verdana" w:cs="Arial"/>
                <w:spacing w:val="6"/>
                <w:sz w:val="20"/>
                <w:szCs w:val="20"/>
                <w:highlight w:val="yellow"/>
                <w:lang w:eastAsia="es-ES"/>
              </w:rPr>
              <w:t>de</w:t>
            </w:r>
            <w:proofErr w:type="gramEnd"/>
            <w:r w:rsidRPr="003D12D2">
              <w:rPr>
                <w:rFonts w:ascii="Verdana" w:eastAsia="Times New Roman" w:hAnsi="Verdana" w:cs="Arial"/>
                <w:spacing w:val="6"/>
                <w:sz w:val="20"/>
                <w:szCs w:val="20"/>
                <w:highlight w:val="yellow"/>
                <w:lang w:eastAsia="es-ES"/>
              </w:rPr>
              <w:t xml:space="preserve"> esta Ordenanza.</w:t>
            </w:r>
          </w:p>
          <w:p w14:paraId="1F57861B" w14:textId="77777777" w:rsidR="00CF0B54" w:rsidRPr="003D12D2" w:rsidRDefault="00CF0B54" w:rsidP="00550613">
            <w:pPr>
              <w:pStyle w:val="Prrafodelista"/>
              <w:ind w:left="1349"/>
              <w:jc w:val="both"/>
              <w:rPr>
                <w:rFonts w:ascii="Verdana" w:eastAsia="Times New Roman" w:hAnsi="Verdana" w:cs="Arial"/>
                <w:spacing w:val="6"/>
                <w:sz w:val="20"/>
                <w:szCs w:val="20"/>
                <w:highlight w:val="yellow"/>
                <w:lang w:eastAsia="es-ES"/>
              </w:rPr>
            </w:pPr>
          </w:p>
          <w:p w14:paraId="7BC07DB1" w14:textId="77777777" w:rsidR="00CF0B54" w:rsidRPr="003D12D2" w:rsidRDefault="00CF0B54" w:rsidP="003D12D2">
            <w:pPr>
              <w:pStyle w:val="Prrafodelista"/>
              <w:ind w:left="410"/>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Cada unidad de vivienda destinada a beneficiarios de programas habitacionales del Estado deberá cumplir con las condiciones mínimas establecidas en el reglamento del programa correspondiente. ;</w:t>
            </w:r>
          </w:p>
          <w:p w14:paraId="22A2DEDF" w14:textId="77777777" w:rsidR="00CF0B54" w:rsidRPr="003D12D2" w:rsidRDefault="00CF0B54" w:rsidP="00550613">
            <w:pPr>
              <w:pStyle w:val="Prrafodelista"/>
              <w:jc w:val="both"/>
              <w:rPr>
                <w:rFonts w:ascii="Verdana" w:hAnsi="Verdana"/>
                <w:sz w:val="20"/>
                <w:szCs w:val="20"/>
                <w:highlight w:val="yellow"/>
              </w:rPr>
            </w:pPr>
          </w:p>
          <w:p w14:paraId="4ABEEC2D" w14:textId="01F3E278" w:rsidR="00CF0B54" w:rsidRPr="003D12D2" w:rsidRDefault="00CF0B54" w:rsidP="003D12D2">
            <w:pPr>
              <w:pStyle w:val="Prrafodelista"/>
              <w:numPr>
                <w:ilvl w:val="0"/>
                <w:numId w:val="15"/>
              </w:numPr>
              <w:spacing w:after="200" w:line="276" w:lineRule="auto"/>
              <w:ind w:left="410" w:hanging="357"/>
              <w:jc w:val="both"/>
              <w:rPr>
                <w:rFonts w:ascii="Verdana" w:eastAsia="Times New Roman" w:hAnsi="Verdana" w:cs="Arial"/>
                <w:spacing w:val="6"/>
                <w:sz w:val="20"/>
                <w:szCs w:val="20"/>
                <w:highlight w:val="yellow"/>
                <w:lang w:eastAsia="es-ES"/>
              </w:rPr>
            </w:pPr>
            <w:r w:rsidRPr="003D12D2">
              <w:rPr>
                <w:rFonts w:ascii="Verdana" w:hAnsi="Verdana"/>
                <w:sz w:val="20"/>
                <w:szCs w:val="20"/>
                <w:highlight w:val="yellow"/>
              </w:rPr>
              <w:t xml:space="preserve">El porcentaje mínimo de viviendas que deberá ser destinado en arriendo por beneficiarios de programas </w:t>
            </w:r>
            <w:r w:rsidRPr="003D12D2">
              <w:rPr>
                <w:rFonts w:ascii="Verdana" w:eastAsia="Times New Roman" w:hAnsi="Verdana" w:cs="Arial"/>
                <w:spacing w:val="6"/>
                <w:sz w:val="20"/>
                <w:szCs w:val="20"/>
                <w:highlight w:val="yellow"/>
                <w:lang w:eastAsia="es-ES"/>
              </w:rPr>
              <w:t>habitacionales del Estado creados para estos efectos</w:t>
            </w:r>
            <w:r w:rsidRPr="003D12D2">
              <w:rPr>
                <w:rFonts w:ascii="Verdana" w:hAnsi="Verdana"/>
                <w:sz w:val="20"/>
                <w:szCs w:val="20"/>
                <w:highlight w:val="yellow"/>
              </w:rPr>
              <w:t xml:space="preserve">, que no podrá ser inferior al 30% </w:t>
            </w:r>
            <w:r w:rsidRPr="003D12D2">
              <w:rPr>
                <w:rFonts w:ascii="Verdana" w:eastAsia="Times New Roman" w:hAnsi="Verdana" w:cs="Arial"/>
                <w:spacing w:val="6"/>
                <w:sz w:val="20"/>
                <w:szCs w:val="20"/>
                <w:highlight w:val="yellow"/>
                <w:lang w:eastAsia="es-ES"/>
              </w:rPr>
              <w:t xml:space="preserve">del total de viviendas adicionales que se obtengan a partir del aumento de unidades adicionales según el literal anterior. </w:t>
            </w:r>
          </w:p>
        </w:tc>
        <w:tc>
          <w:tcPr>
            <w:tcW w:w="3937" w:type="dxa"/>
          </w:tcPr>
          <w:p w14:paraId="43AB81BA" w14:textId="77777777" w:rsidR="00CF0B54" w:rsidRPr="003D12D2" w:rsidRDefault="00CF0B54" w:rsidP="00550613">
            <w:pPr>
              <w:tabs>
                <w:tab w:val="left" w:pos="1843"/>
              </w:tabs>
              <w:jc w:val="both"/>
              <w:rPr>
                <w:rFonts w:ascii="Verdana" w:eastAsia="Times New Roman" w:hAnsi="Verdana" w:cs="Arial"/>
                <w:b/>
                <w:spacing w:val="6"/>
                <w:sz w:val="20"/>
                <w:szCs w:val="20"/>
                <w:highlight w:val="yellow"/>
                <w:lang w:eastAsia="es-ES"/>
              </w:rPr>
            </w:pPr>
          </w:p>
        </w:tc>
      </w:tr>
      <w:tr w:rsidR="00CF0B54" w:rsidRPr="00751151" w14:paraId="7DD0C721" w14:textId="259C9B82" w:rsidTr="00CF0B54">
        <w:trPr>
          <w:trHeight w:val="907"/>
        </w:trPr>
        <w:tc>
          <w:tcPr>
            <w:tcW w:w="4858" w:type="dxa"/>
          </w:tcPr>
          <w:p w14:paraId="5206A23C" w14:textId="77777777" w:rsidR="00CF0B54" w:rsidRDefault="00CF0B54" w:rsidP="0098381E">
            <w:pPr>
              <w:autoSpaceDE w:val="0"/>
              <w:autoSpaceDN w:val="0"/>
              <w:adjustRightInd w:val="0"/>
              <w:rPr>
                <w:rFonts w:cs="Arial"/>
                <w:b/>
                <w:sz w:val="24"/>
                <w:szCs w:val="24"/>
              </w:rPr>
            </w:pPr>
          </w:p>
          <w:p w14:paraId="0D2A4076" w14:textId="77777777" w:rsidR="00CF0B54" w:rsidRDefault="00CF0B54" w:rsidP="003D12D2">
            <w:pPr>
              <w:autoSpaceDE w:val="0"/>
              <w:autoSpaceDN w:val="0"/>
              <w:adjustRightInd w:val="0"/>
              <w:jc w:val="center"/>
              <w:rPr>
                <w:rFonts w:cs="Arial"/>
                <w:b/>
                <w:sz w:val="24"/>
                <w:szCs w:val="24"/>
              </w:rPr>
            </w:pPr>
          </w:p>
          <w:p w14:paraId="7B06C9E5" w14:textId="53F1FE9F" w:rsidR="00CF0B54" w:rsidRPr="00751151" w:rsidRDefault="00CF0B54" w:rsidP="003D12D2">
            <w:pPr>
              <w:autoSpaceDE w:val="0"/>
              <w:autoSpaceDN w:val="0"/>
              <w:adjustRightInd w:val="0"/>
              <w:jc w:val="center"/>
              <w:rPr>
                <w:rFonts w:cs="Arial"/>
                <w:sz w:val="24"/>
                <w:szCs w:val="24"/>
              </w:rPr>
            </w:pPr>
            <w:r w:rsidRPr="00B210CD">
              <w:rPr>
                <w:rFonts w:cs="Arial"/>
                <w:b/>
                <w:sz w:val="24"/>
                <w:szCs w:val="24"/>
              </w:rPr>
              <w:t>-</w:t>
            </w:r>
          </w:p>
        </w:tc>
        <w:tc>
          <w:tcPr>
            <w:tcW w:w="4858" w:type="dxa"/>
          </w:tcPr>
          <w:p w14:paraId="4E3B5018" w14:textId="77777777" w:rsidR="00CF0B54" w:rsidRPr="003D12D2" w:rsidRDefault="00CF0B54" w:rsidP="00550613">
            <w:pPr>
              <w:tabs>
                <w:tab w:val="left" w:pos="1843"/>
              </w:tabs>
              <w:ind w:left="993"/>
              <w:jc w:val="both"/>
              <w:rPr>
                <w:rFonts w:ascii="Verdana" w:eastAsia="Times New Roman" w:hAnsi="Verdana" w:cs="Arial"/>
                <w:b/>
                <w:spacing w:val="6"/>
                <w:sz w:val="20"/>
                <w:szCs w:val="20"/>
                <w:highlight w:val="yellow"/>
                <w:lang w:eastAsia="es-ES"/>
              </w:rPr>
            </w:pPr>
          </w:p>
          <w:p w14:paraId="547C7E70" w14:textId="77777777" w:rsidR="00CF0B54" w:rsidRPr="003D12D2" w:rsidRDefault="00CF0B54" w:rsidP="003D12D2">
            <w:pPr>
              <w:tabs>
                <w:tab w:val="left" w:pos="1843"/>
              </w:tabs>
              <w:ind w:left="-15"/>
              <w:jc w:val="both"/>
              <w:rPr>
                <w:rFonts w:ascii="Verdana" w:eastAsia="Times New Roman" w:hAnsi="Verdana" w:cs="Arial"/>
                <w:spacing w:val="6"/>
                <w:sz w:val="20"/>
                <w:szCs w:val="20"/>
                <w:highlight w:val="yellow"/>
                <w:lang w:eastAsia="es-ES"/>
              </w:rPr>
            </w:pPr>
            <w:r w:rsidRPr="003D12D2">
              <w:rPr>
                <w:rFonts w:ascii="Verdana" w:eastAsia="Times New Roman" w:hAnsi="Verdana" w:cs="Arial"/>
                <w:b/>
                <w:spacing w:val="6"/>
                <w:sz w:val="20"/>
                <w:szCs w:val="20"/>
                <w:highlight w:val="yellow"/>
                <w:lang w:eastAsia="es-ES"/>
              </w:rPr>
              <w:t>Artículo 6.1.15.</w:t>
            </w:r>
            <w:r w:rsidRPr="003D12D2">
              <w:rPr>
                <w:rFonts w:ascii="Verdana" w:eastAsia="Times New Roman" w:hAnsi="Verdana" w:cs="Arial"/>
                <w:spacing w:val="6"/>
                <w:sz w:val="20"/>
                <w:szCs w:val="20"/>
                <w:highlight w:val="yellow"/>
                <w:lang w:eastAsia="es-ES"/>
              </w:rPr>
              <w:t xml:space="preserve">  Para ser considerados como Proyectos de Viviendas Integradas y acceder a los beneficios de normas urbanísticas, los proyectos habitacionales deberán cumplir con las siguientes condiciones: </w:t>
            </w:r>
          </w:p>
          <w:p w14:paraId="470B60BC" w14:textId="77777777" w:rsidR="00CF0B54" w:rsidRPr="003D12D2" w:rsidRDefault="00CF0B54" w:rsidP="00550613">
            <w:pPr>
              <w:tabs>
                <w:tab w:val="left" w:pos="1843"/>
              </w:tabs>
              <w:ind w:left="993"/>
              <w:jc w:val="both"/>
              <w:rPr>
                <w:rFonts w:ascii="Verdana" w:eastAsia="Times New Roman" w:hAnsi="Verdana" w:cs="Arial"/>
                <w:spacing w:val="6"/>
                <w:sz w:val="20"/>
                <w:szCs w:val="20"/>
                <w:highlight w:val="yellow"/>
                <w:lang w:eastAsia="es-ES"/>
              </w:rPr>
            </w:pPr>
          </w:p>
          <w:p w14:paraId="1A8AE22B" w14:textId="77777777" w:rsidR="00CF0B54" w:rsidRPr="003D12D2" w:rsidRDefault="00CF0B54" w:rsidP="003D12D2">
            <w:pPr>
              <w:pStyle w:val="Prrafodelista"/>
              <w:numPr>
                <w:ilvl w:val="1"/>
                <w:numId w:val="17"/>
              </w:numPr>
              <w:tabs>
                <w:tab w:val="left" w:pos="1843"/>
              </w:tabs>
              <w:spacing w:line="276" w:lineRule="auto"/>
              <w:ind w:left="410"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Emplazarse en una Zona de Integración Urbana, a que hace referencia el artículo 6.1.13. de esta Ordenanza.</w:t>
            </w:r>
          </w:p>
          <w:p w14:paraId="5D13453D" w14:textId="77777777" w:rsidR="00CF0B54" w:rsidRPr="003D12D2" w:rsidRDefault="00CF0B54" w:rsidP="003D12D2">
            <w:pPr>
              <w:tabs>
                <w:tab w:val="left" w:pos="1843"/>
              </w:tabs>
              <w:ind w:left="410" w:hanging="425"/>
              <w:jc w:val="both"/>
              <w:rPr>
                <w:rFonts w:ascii="Verdana" w:eastAsia="Times New Roman" w:hAnsi="Verdana" w:cs="Arial"/>
                <w:spacing w:val="6"/>
                <w:sz w:val="20"/>
                <w:szCs w:val="20"/>
                <w:highlight w:val="yellow"/>
                <w:lang w:eastAsia="es-ES"/>
              </w:rPr>
            </w:pPr>
          </w:p>
          <w:p w14:paraId="47542926" w14:textId="77777777" w:rsidR="00CF0B54" w:rsidRPr="003D12D2" w:rsidRDefault="00CF0B54" w:rsidP="003D12D2">
            <w:pPr>
              <w:pStyle w:val="Prrafodelista"/>
              <w:numPr>
                <w:ilvl w:val="1"/>
                <w:numId w:val="17"/>
              </w:numPr>
              <w:tabs>
                <w:tab w:val="left" w:pos="1843"/>
              </w:tabs>
              <w:spacing w:line="276" w:lineRule="auto"/>
              <w:ind w:left="410"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 xml:space="preserve">Cumplir con los requisitos y condiciones señalados en la resolución que aprueba la respectiva Zona de Integración Urbana, en la que se emplazará el proyecto. </w:t>
            </w:r>
          </w:p>
          <w:p w14:paraId="02BB778B" w14:textId="77777777" w:rsidR="00CF0B54" w:rsidRPr="003D12D2" w:rsidRDefault="00CF0B54" w:rsidP="00550613">
            <w:pPr>
              <w:tabs>
                <w:tab w:val="left" w:pos="1843"/>
              </w:tabs>
              <w:jc w:val="both"/>
              <w:rPr>
                <w:rFonts w:ascii="Verdana" w:eastAsia="Times New Roman" w:hAnsi="Verdana" w:cs="Arial"/>
                <w:spacing w:val="6"/>
                <w:sz w:val="20"/>
                <w:szCs w:val="20"/>
                <w:highlight w:val="yellow"/>
                <w:lang w:eastAsia="es-ES"/>
              </w:rPr>
            </w:pPr>
          </w:p>
          <w:p w14:paraId="6CE5AFB6" w14:textId="77777777" w:rsidR="00CF0B54" w:rsidRPr="003D12D2" w:rsidRDefault="00CF0B54" w:rsidP="00550613">
            <w:pPr>
              <w:tabs>
                <w:tab w:val="left" w:pos="1843"/>
              </w:tabs>
              <w:ind w:left="993" w:firstLine="1275"/>
              <w:jc w:val="both"/>
              <w:rPr>
                <w:rFonts w:ascii="Verdana" w:eastAsia="Times New Roman" w:hAnsi="Verdana" w:cs="Arial"/>
                <w:spacing w:val="6"/>
                <w:sz w:val="20"/>
                <w:szCs w:val="20"/>
                <w:highlight w:val="yellow"/>
                <w:lang w:eastAsia="es-ES"/>
              </w:rPr>
            </w:pPr>
          </w:p>
          <w:p w14:paraId="4292DD5E" w14:textId="77777777" w:rsidR="00CF0B54" w:rsidRPr="003D12D2" w:rsidRDefault="00CF0B54" w:rsidP="003D12D2">
            <w:pPr>
              <w:tabs>
                <w:tab w:val="left" w:pos="1843"/>
              </w:tabs>
              <w:ind w:firstLine="1686"/>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 xml:space="preserve">A los Proyectos de Viviendas Integradas ubicados en una Zona de Integración Urbana, solo les serán aplicables las siguientes normas urbanísticas de los respectivos Instrumentos de Planificación Territorial: </w:t>
            </w:r>
          </w:p>
          <w:p w14:paraId="1743407C" w14:textId="77777777" w:rsidR="00CF0B54" w:rsidRPr="003D12D2" w:rsidRDefault="00CF0B54" w:rsidP="00550613">
            <w:pPr>
              <w:tabs>
                <w:tab w:val="left" w:pos="1843"/>
              </w:tabs>
              <w:ind w:leftChars="992" w:left="2182" w:firstLine="425"/>
              <w:jc w:val="both"/>
              <w:rPr>
                <w:rFonts w:ascii="Verdana" w:eastAsia="Times New Roman" w:hAnsi="Verdana" w:cs="Arial"/>
                <w:spacing w:val="6"/>
                <w:sz w:val="20"/>
                <w:szCs w:val="20"/>
                <w:highlight w:val="yellow"/>
                <w:lang w:eastAsia="es-ES"/>
              </w:rPr>
            </w:pPr>
          </w:p>
          <w:p w14:paraId="0A0D86A7" w14:textId="77777777" w:rsidR="00CF0B54" w:rsidRPr="003D12D2" w:rsidRDefault="00CF0B54" w:rsidP="003D12D2">
            <w:pPr>
              <w:pStyle w:val="Prrafodelista"/>
              <w:numPr>
                <w:ilvl w:val="2"/>
                <w:numId w:val="18"/>
              </w:numPr>
              <w:tabs>
                <w:tab w:val="left" w:pos="1843"/>
              </w:tabs>
              <w:spacing w:line="276" w:lineRule="auto"/>
              <w:ind w:left="410"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Coeficientes de constructibilidad, de ocupación de suelo y de pisos superiores, altura máxima de edificación y densidad</w:t>
            </w:r>
            <w:r w:rsidRPr="003D12D2">
              <w:rPr>
                <w:rFonts w:ascii="Verdana" w:eastAsia="Times New Roman" w:hAnsi="Verdana" w:cs="Arial"/>
                <w:color w:val="FF0000"/>
                <w:spacing w:val="6"/>
                <w:sz w:val="20"/>
                <w:szCs w:val="20"/>
                <w:highlight w:val="yellow"/>
                <w:lang w:eastAsia="es-ES"/>
              </w:rPr>
              <w:t xml:space="preserve"> </w:t>
            </w:r>
            <w:r w:rsidRPr="003D12D2">
              <w:rPr>
                <w:rFonts w:ascii="Verdana" w:eastAsia="Times New Roman" w:hAnsi="Verdana" w:cs="Arial"/>
                <w:spacing w:val="6"/>
                <w:sz w:val="20"/>
                <w:szCs w:val="20"/>
                <w:highlight w:val="yellow"/>
                <w:lang w:eastAsia="es-ES"/>
              </w:rPr>
              <w:t>máxima, que podrán ser incrementadas en el porcentaje que determine la Resolución que aprueba la Zona de Integración Urbana.</w:t>
            </w:r>
          </w:p>
          <w:p w14:paraId="43F37196" w14:textId="77777777" w:rsidR="00CF0B54" w:rsidRPr="003D12D2" w:rsidRDefault="00CF0B54" w:rsidP="003D12D2">
            <w:pPr>
              <w:pStyle w:val="Prrafodelista"/>
              <w:tabs>
                <w:tab w:val="left" w:pos="1418"/>
              </w:tabs>
              <w:ind w:left="410" w:hanging="425"/>
              <w:jc w:val="both"/>
              <w:rPr>
                <w:rFonts w:ascii="Verdana" w:eastAsia="Times New Roman" w:hAnsi="Verdana" w:cs="Arial"/>
                <w:spacing w:val="6"/>
                <w:sz w:val="20"/>
                <w:szCs w:val="20"/>
                <w:highlight w:val="yellow"/>
                <w:lang w:eastAsia="es-ES"/>
              </w:rPr>
            </w:pPr>
          </w:p>
          <w:p w14:paraId="6D5954D1" w14:textId="77777777" w:rsidR="00CF0B54" w:rsidRPr="003D12D2" w:rsidRDefault="00CF0B54" w:rsidP="003D12D2">
            <w:pPr>
              <w:pStyle w:val="Prrafodelista"/>
              <w:numPr>
                <w:ilvl w:val="2"/>
                <w:numId w:val="18"/>
              </w:numPr>
              <w:tabs>
                <w:tab w:val="left" w:pos="1843"/>
              </w:tabs>
              <w:spacing w:line="276" w:lineRule="auto"/>
              <w:ind w:left="410"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Áreas de riesgo y de protección</w:t>
            </w:r>
          </w:p>
          <w:p w14:paraId="1717C127" w14:textId="77777777" w:rsidR="00CF0B54" w:rsidRPr="003D12D2" w:rsidRDefault="00CF0B54" w:rsidP="003D12D2">
            <w:pPr>
              <w:pStyle w:val="Prrafodelista"/>
              <w:tabs>
                <w:tab w:val="left" w:pos="1843"/>
              </w:tabs>
              <w:ind w:left="410" w:hanging="425"/>
              <w:jc w:val="both"/>
              <w:rPr>
                <w:rFonts w:ascii="Verdana" w:eastAsia="Times New Roman" w:hAnsi="Verdana" w:cs="Arial"/>
                <w:spacing w:val="6"/>
                <w:sz w:val="20"/>
                <w:szCs w:val="20"/>
                <w:highlight w:val="yellow"/>
                <w:lang w:eastAsia="es-ES"/>
              </w:rPr>
            </w:pPr>
          </w:p>
          <w:p w14:paraId="0559A5F3" w14:textId="77777777" w:rsidR="00CF0B54" w:rsidRPr="003D12D2" w:rsidRDefault="00CF0B54" w:rsidP="003D12D2">
            <w:pPr>
              <w:pStyle w:val="Prrafodelista"/>
              <w:numPr>
                <w:ilvl w:val="2"/>
                <w:numId w:val="18"/>
              </w:numPr>
              <w:tabs>
                <w:tab w:val="left" w:pos="1843"/>
              </w:tabs>
              <w:spacing w:line="276" w:lineRule="auto"/>
              <w:ind w:left="410"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Uso de Suelo</w:t>
            </w:r>
          </w:p>
          <w:p w14:paraId="5B401845" w14:textId="77777777" w:rsidR="00CF0B54" w:rsidRPr="003D12D2" w:rsidRDefault="00CF0B54" w:rsidP="003D12D2">
            <w:pPr>
              <w:pStyle w:val="Prrafodelista"/>
              <w:tabs>
                <w:tab w:val="left" w:pos="1843"/>
              </w:tabs>
              <w:ind w:left="410" w:hanging="425"/>
              <w:jc w:val="both"/>
              <w:rPr>
                <w:rFonts w:ascii="Verdana" w:eastAsia="Times New Roman" w:hAnsi="Verdana" w:cs="Arial"/>
                <w:spacing w:val="6"/>
                <w:sz w:val="20"/>
                <w:szCs w:val="20"/>
                <w:highlight w:val="yellow"/>
                <w:lang w:eastAsia="es-ES"/>
              </w:rPr>
            </w:pPr>
          </w:p>
          <w:p w14:paraId="44EFE35C" w14:textId="77777777" w:rsidR="00CF0B54" w:rsidRPr="003D12D2" w:rsidRDefault="00CF0B54" w:rsidP="003D12D2">
            <w:pPr>
              <w:pStyle w:val="Prrafodelista"/>
              <w:numPr>
                <w:ilvl w:val="2"/>
                <w:numId w:val="18"/>
              </w:numPr>
              <w:tabs>
                <w:tab w:val="left" w:pos="1843"/>
              </w:tabs>
              <w:spacing w:line="276" w:lineRule="auto"/>
              <w:ind w:left="410"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Rasantes y distanciamientos, respecto de los predios vecinos al proyecto</w:t>
            </w:r>
          </w:p>
          <w:p w14:paraId="41F22786" w14:textId="77777777" w:rsidR="00CF0B54" w:rsidRPr="003D12D2" w:rsidRDefault="00CF0B54" w:rsidP="003D12D2">
            <w:pPr>
              <w:pStyle w:val="Prrafodelista"/>
              <w:tabs>
                <w:tab w:val="left" w:pos="1843"/>
              </w:tabs>
              <w:ind w:left="410" w:hanging="425"/>
              <w:jc w:val="both"/>
              <w:rPr>
                <w:rFonts w:ascii="Verdana" w:eastAsia="Times New Roman" w:hAnsi="Verdana" w:cs="Arial"/>
                <w:spacing w:val="6"/>
                <w:sz w:val="20"/>
                <w:szCs w:val="20"/>
                <w:highlight w:val="yellow"/>
                <w:lang w:eastAsia="es-ES"/>
              </w:rPr>
            </w:pPr>
          </w:p>
          <w:p w14:paraId="01E31720" w14:textId="77777777" w:rsidR="00CF0B54" w:rsidRPr="003D12D2" w:rsidRDefault="00CF0B54" w:rsidP="003D12D2">
            <w:pPr>
              <w:pStyle w:val="Prrafodelista"/>
              <w:numPr>
                <w:ilvl w:val="2"/>
                <w:numId w:val="18"/>
              </w:numPr>
              <w:tabs>
                <w:tab w:val="left" w:pos="1843"/>
              </w:tabs>
              <w:spacing w:line="276" w:lineRule="auto"/>
              <w:ind w:left="410"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Antejardines y rasantes con respecto a la o las vías públicas, existentes o previstas en el Instrumento de Planificación Territorial</w:t>
            </w:r>
          </w:p>
          <w:p w14:paraId="7FFAD920" w14:textId="77777777" w:rsidR="00CF0B54" w:rsidRPr="003D12D2" w:rsidRDefault="00CF0B54" w:rsidP="003D12D2">
            <w:pPr>
              <w:pStyle w:val="Prrafodelista"/>
              <w:tabs>
                <w:tab w:val="left" w:pos="1843"/>
              </w:tabs>
              <w:ind w:left="410" w:hanging="425"/>
              <w:jc w:val="both"/>
              <w:rPr>
                <w:rFonts w:ascii="Verdana" w:eastAsia="Times New Roman" w:hAnsi="Verdana" w:cs="Arial"/>
                <w:spacing w:val="6"/>
                <w:sz w:val="20"/>
                <w:szCs w:val="20"/>
                <w:highlight w:val="yellow"/>
                <w:lang w:eastAsia="es-ES"/>
              </w:rPr>
            </w:pPr>
          </w:p>
          <w:p w14:paraId="55688ACD" w14:textId="77777777" w:rsidR="00CF0B54" w:rsidRPr="003D12D2" w:rsidRDefault="00CF0B54" w:rsidP="003D12D2">
            <w:pPr>
              <w:pStyle w:val="Prrafodelista"/>
              <w:numPr>
                <w:ilvl w:val="2"/>
                <w:numId w:val="18"/>
              </w:numPr>
              <w:tabs>
                <w:tab w:val="left" w:pos="1843"/>
              </w:tabs>
              <w:spacing w:line="276" w:lineRule="auto"/>
              <w:ind w:left="410" w:hanging="42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 xml:space="preserve">Franjas afectas a declaratoria de utilidad pública </w:t>
            </w:r>
          </w:p>
          <w:p w14:paraId="26A1B3B7" w14:textId="77777777" w:rsidR="00CF0B54" w:rsidRPr="003D12D2" w:rsidRDefault="00CF0B54" w:rsidP="00550613">
            <w:pPr>
              <w:tabs>
                <w:tab w:val="left" w:pos="1843"/>
              </w:tabs>
              <w:ind w:left="993"/>
              <w:jc w:val="both"/>
              <w:rPr>
                <w:rFonts w:ascii="Verdana" w:eastAsia="Times New Roman" w:hAnsi="Verdana" w:cs="Arial"/>
                <w:spacing w:val="6"/>
                <w:sz w:val="20"/>
                <w:szCs w:val="20"/>
                <w:highlight w:val="yellow"/>
                <w:lang w:eastAsia="es-ES"/>
              </w:rPr>
            </w:pPr>
          </w:p>
          <w:p w14:paraId="3266E090" w14:textId="49AECD1D" w:rsidR="00CF0B54" w:rsidRPr="003D12D2" w:rsidRDefault="00CF0B54" w:rsidP="003D12D2">
            <w:pPr>
              <w:tabs>
                <w:tab w:val="left" w:pos="1843"/>
              </w:tabs>
              <w:ind w:firstLine="1275"/>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ab/>
              <w:t>Lo anterior deberá quedar consignado tanto en la solicitud de aprobación de anteproyecto de loteo de viviendas con construcción simultánea o conjunto de viviendas sociales y económicas, como en la solicitud de aprobación de proyecto de loteo de viviendas con construcción simultánea o de proyecto de conjunto de viviendas sociales o económicas, y en las respectivas resoluciones de aprobación y permiso de edificación, según corresponda.</w:t>
            </w:r>
          </w:p>
          <w:p w14:paraId="171AE506" w14:textId="73B029CD" w:rsidR="00CF0B54" w:rsidRPr="003D12D2" w:rsidRDefault="00CF0B54" w:rsidP="003D12D2">
            <w:pPr>
              <w:autoSpaceDE w:val="0"/>
              <w:autoSpaceDN w:val="0"/>
              <w:adjustRightInd w:val="0"/>
              <w:ind w:right="175"/>
              <w:jc w:val="both"/>
              <w:rPr>
                <w:rFonts w:cs="Arial"/>
                <w:sz w:val="24"/>
                <w:szCs w:val="24"/>
                <w:highlight w:val="yellow"/>
              </w:rPr>
            </w:pPr>
          </w:p>
        </w:tc>
        <w:tc>
          <w:tcPr>
            <w:tcW w:w="3937" w:type="dxa"/>
          </w:tcPr>
          <w:p w14:paraId="04068307" w14:textId="77777777" w:rsidR="00CF0B54" w:rsidRPr="003D12D2" w:rsidRDefault="00CF0B54" w:rsidP="00550613">
            <w:pPr>
              <w:tabs>
                <w:tab w:val="left" w:pos="1843"/>
              </w:tabs>
              <w:ind w:left="993"/>
              <w:jc w:val="both"/>
              <w:rPr>
                <w:rFonts w:ascii="Verdana" w:eastAsia="Times New Roman" w:hAnsi="Verdana" w:cs="Arial"/>
                <w:b/>
                <w:spacing w:val="6"/>
                <w:sz w:val="20"/>
                <w:szCs w:val="20"/>
                <w:highlight w:val="yellow"/>
                <w:lang w:eastAsia="es-ES"/>
              </w:rPr>
            </w:pPr>
          </w:p>
        </w:tc>
      </w:tr>
      <w:tr w:rsidR="00CF0B54" w:rsidRPr="00751151" w14:paraId="7EB5340A" w14:textId="08DD4AE2" w:rsidTr="00CF0B54">
        <w:trPr>
          <w:trHeight w:val="907"/>
        </w:trPr>
        <w:tc>
          <w:tcPr>
            <w:tcW w:w="4858" w:type="dxa"/>
          </w:tcPr>
          <w:p w14:paraId="638AC4D1" w14:textId="77777777" w:rsidR="00CF0B54" w:rsidRDefault="00CF0B54" w:rsidP="0098381E">
            <w:pPr>
              <w:autoSpaceDE w:val="0"/>
              <w:autoSpaceDN w:val="0"/>
              <w:adjustRightInd w:val="0"/>
              <w:rPr>
                <w:rFonts w:cs="Arial"/>
                <w:b/>
                <w:sz w:val="24"/>
                <w:szCs w:val="24"/>
              </w:rPr>
            </w:pPr>
          </w:p>
          <w:p w14:paraId="42073A04" w14:textId="77777777" w:rsidR="00CF0B54" w:rsidRDefault="00CF0B54" w:rsidP="003D12D2">
            <w:pPr>
              <w:autoSpaceDE w:val="0"/>
              <w:autoSpaceDN w:val="0"/>
              <w:adjustRightInd w:val="0"/>
              <w:jc w:val="center"/>
              <w:rPr>
                <w:rFonts w:cs="Arial"/>
                <w:b/>
                <w:sz w:val="24"/>
                <w:szCs w:val="24"/>
              </w:rPr>
            </w:pPr>
          </w:p>
          <w:p w14:paraId="11614121" w14:textId="05C1EA63" w:rsidR="00CF0B54" w:rsidRPr="00751151" w:rsidRDefault="00CF0B54" w:rsidP="003D12D2">
            <w:pPr>
              <w:autoSpaceDE w:val="0"/>
              <w:autoSpaceDN w:val="0"/>
              <w:adjustRightInd w:val="0"/>
              <w:jc w:val="center"/>
              <w:rPr>
                <w:rFonts w:cs="Arial"/>
                <w:sz w:val="24"/>
                <w:szCs w:val="24"/>
              </w:rPr>
            </w:pPr>
            <w:r w:rsidRPr="00B210CD">
              <w:rPr>
                <w:rFonts w:cs="Arial"/>
                <w:b/>
                <w:sz w:val="24"/>
                <w:szCs w:val="24"/>
              </w:rPr>
              <w:t>-</w:t>
            </w:r>
          </w:p>
        </w:tc>
        <w:tc>
          <w:tcPr>
            <w:tcW w:w="4858" w:type="dxa"/>
          </w:tcPr>
          <w:p w14:paraId="51FFB364" w14:textId="77777777" w:rsidR="00CF0B54" w:rsidRPr="003D12D2" w:rsidRDefault="00CF0B54" w:rsidP="00550613">
            <w:pPr>
              <w:tabs>
                <w:tab w:val="left" w:pos="1843"/>
              </w:tabs>
              <w:ind w:left="993"/>
              <w:jc w:val="both"/>
              <w:rPr>
                <w:rFonts w:ascii="Verdana" w:eastAsia="Times New Roman" w:hAnsi="Verdana" w:cs="Arial"/>
                <w:b/>
                <w:spacing w:val="6"/>
                <w:sz w:val="20"/>
                <w:szCs w:val="20"/>
                <w:highlight w:val="yellow"/>
                <w:lang w:eastAsia="es-ES"/>
              </w:rPr>
            </w:pPr>
          </w:p>
          <w:p w14:paraId="4840A398" w14:textId="5991E5B5" w:rsidR="00CF0B54" w:rsidRPr="003D12D2" w:rsidRDefault="00CF0B54" w:rsidP="003D12D2">
            <w:pPr>
              <w:tabs>
                <w:tab w:val="left" w:pos="1843"/>
              </w:tabs>
              <w:jc w:val="both"/>
              <w:rPr>
                <w:rFonts w:ascii="Verdana" w:eastAsia="Times New Roman" w:hAnsi="Verdana" w:cs="Arial"/>
                <w:spacing w:val="6"/>
                <w:sz w:val="20"/>
                <w:szCs w:val="20"/>
                <w:highlight w:val="yellow"/>
                <w:lang w:eastAsia="es-ES"/>
              </w:rPr>
            </w:pPr>
            <w:r w:rsidRPr="003D12D2">
              <w:rPr>
                <w:rFonts w:ascii="Verdana" w:eastAsia="Times New Roman" w:hAnsi="Verdana" w:cs="Arial"/>
                <w:b/>
                <w:spacing w:val="6"/>
                <w:sz w:val="20"/>
                <w:szCs w:val="20"/>
                <w:highlight w:val="yellow"/>
                <w:lang w:eastAsia="es-ES"/>
              </w:rPr>
              <w:t>Artículo 6.1.16.</w:t>
            </w:r>
            <w:r w:rsidRPr="003D12D2">
              <w:rPr>
                <w:rFonts w:ascii="Verdana" w:eastAsia="Times New Roman" w:hAnsi="Verdana" w:cs="Arial"/>
                <w:spacing w:val="6"/>
                <w:sz w:val="20"/>
                <w:szCs w:val="20"/>
                <w:highlight w:val="yellow"/>
                <w:lang w:eastAsia="es-ES"/>
              </w:rPr>
              <w:t xml:space="preserve"> </w:t>
            </w:r>
            <w:r w:rsidRPr="003D12D2">
              <w:rPr>
                <w:rFonts w:ascii="Verdana" w:eastAsia="Times New Roman" w:hAnsi="Verdana" w:cs="Arial"/>
                <w:spacing w:val="6"/>
                <w:sz w:val="20"/>
                <w:szCs w:val="20"/>
                <w:highlight w:val="yellow"/>
                <w:lang w:eastAsia="es-ES"/>
              </w:rPr>
              <w:tab/>
              <w:t>Los Servicios de Vivienda y Urbanización, deberán adquirir y dar en arrendamiento las unidades de vivienda contempladas en un Proyecto de Viviendas Integradas que correspondan a los porcentajes obligatorios establecidos en la resolución que aprueba la Zona de Integración Urbana, según lo que establezca el Ministerio de Vivienda y Urbanismo a través de sus programas para el arriendo de viviendas. Adicionalmente, esta obligación podrá ser cumplida por otra institución pública o privada que cuente con autorización del Servicio de Vivienda y Urbanización respectivo.</w:t>
            </w:r>
          </w:p>
          <w:p w14:paraId="72D0EBB0" w14:textId="77777777" w:rsidR="00CF0B54" w:rsidRPr="003D12D2" w:rsidRDefault="00CF0B54" w:rsidP="00550613">
            <w:pPr>
              <w:tabs>
                <w:tab w:val="left" w:pos="1843"/>
              </w:tabs>
              <w:ind w:left="993"/>
              <w:jc w:val="both"/>
              <w:rPr>
                <w:rFonts w:ascii="Verdana" w:eastAsia="Times New Roman" w:hAnsi="Verdana" w:cs="Arial"/>
                <w:spacing w:val="6"/>
                <w:sz w:val="20"/>
                <w:szCs w:val="20"/>
                <w:highlight w:val="yellow"/>
                <w:lang w:eastAsia="es-ES"/>
              </w:rPr>
            </w:pPr>
          </w:p>
          <w:p w14:paraId="53EEA73D" w14:textId="77777777" w:rsidR="00CF0B54" w:rsidRPr="003D12D2" w:rsidRDefault="00CF0B54" w:rsidP="003D12D2">
            <w:pPr>
              <w:tabs>
                <w:tab w:val="left" w:pos="1843"/>
              </w:tabs>
              <w:ind w:firstLine="1842"/>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Asimismo, dichas unidades de vivienda deberán ser dadas en arrendamiento a beneficiarios de programas para el arriendo de viviendas del Ministerio de Vivienda y Urbanismo por sus propietarios. Estas unidades quedarán gravadas con prohibición de enajenar, en favor del Servicio de Vivienda y Urbanización respectivo, durante un período de veinte años, a partir de la fecha de su recepción municipal definitiva.</w:t>
            </w:r>
          </w:p>
          <w:p w14:paraId="0592A302" w14:textId="77777777" w:rsidR="00CF0B54" w:rsidRPr="003D12D2" w:rsidRDefault="00CF0B54" w:rsidP="00550613">
            <w:pPr>
              <w:tabs>
                <w:tab w:val="left" w:pos="1843"/>
              </w:tabs>
              <w:ind w:left="993" w:firstLine="1842"/>
              <w:jc w:val="both"/>
              <w:rPr>
                <w:rFonts w:ascii="Verdana" w:eastAsia="Times New Roman" w:hAnsi="Verdana" w:cs="Arial"/>
                <w:spacing w:val="6"/>
                <w:sz w:val="20"/>
                <w:szCs w:val="20"/>
                <w:highlight w:val="yellow"/>
                <w:lang w:eastAsia="es-ES"/>
              </w:rPr>
            </w:pPr>
          </w:p>
          <w:p w14:paraId="513CDC8E" w14:textId="77777777" w:rsidR="00CF0B54" w:rsidRPr="003D12D2" w:rsidRDefault="00CF0B54" w:rsidP="003D12D2">
            <w:pPr>
              <w:tabs>
                <w:tab w:val="left" w:pos="1843"/>
              </w:tabs>
              <w:ind w:firstLine="1842"/>
              <w:jc w:val="both"/>
              <w:rPr>
                <w:rFonts w:ascii="Verdana" w:eastAsia="Times New Roman" w:hAnsi="Verdana" w:cs="Arial"/>
                <w:spacing w:val="6"/>
                <w:sz w:val="20"/>
                <w:szCs w:val="20"/>
                <w:highlight w:val="yellow"/>
                <w:lang w:eastAsia="es-ES"/>
              </w:rPr>
            </w:pPr>
            <w:r w:rsidRPr="003D12D2">
              <w:rPr>
                <w:rFonts w:ascii="Verdana" w:eastAsia="Times New Roman" w:hAnsi="Verdana" w:cs="Arial"/>
                <w:spacing w:val="6"/>
                <w:sz w:val="20"/>
                <w:szCs w:val="20"/>
                <w:highlight w:val="yellow"/>
                <w:lang w:eastAsia="es-ES"/>
              </w:rPr>
              <w:t>Las unidades de vivienda a las que se refieren los incisos precedentes, al igual que aquellas a que se refiere el artículo 6.1.14. d), de esta Ordenanza, deberán ser singularizadas en las solicitudes y aprobaciones que corresponda y en el permiso de edificación respectivo, estableciéndose en ellos la cantidad y unidades de vivienda que quedarán bajo dicha condición. Para dichos efectos, deberán adjuntarse a la solicitud de permiso de edificación respectiva, las cauciones que el Ministerio de Vivienda y Urbanismo disponga para asegurar, por medio de los Servicios de Vivienda y Urbanización, la correcta asignación y utilización de dichas unidades.</w:t>
            </w:r>
          </w:p>
          <w:p w14:paraId="5B0C3760" w14:textId="65844104" w:rsidR="00CF0B54" w:rsidRPr="003D12D2" w:rsidRDefault="00CF0B54" w:rsidP="003D12D2">
            <w:pPr>
              <w:tabs>
                <w:tab w:val="left" w:pos="1843"/>
              </w:tabs>
              <w:ind w:firstLine="1842"/>
              <w:jc w:val="both"/>
              <w:rPr>
                <w:rFonts w:cs="Arial"/>
                <w:sz w:val="24"/>
                <w:szCs w:val="24"/>
                <w:highlight w:val="yellow"/>
              </w:rPr>
            </w:pPr>
          </w:p>
        </w:tc>
        <w:tc>
          <w:tcPr>
            <w:tcW w:w="3937" w:type="dxa"/>
          </w:tcPr>
          <w:p w14:paraId="2C8E8171" w14:textId="77777777" w:rsidR="00CF0B54" w:rsidRPr="003D12D2" w:rsidRDefault="00CF0B54" w:rsidP="00550613">
            <w:pPr>
              <w:tabs>
                <w:tab w:val="left" w:pos="1843"/>
              </w:tabs>
              <w:ind w:left="993"/>
              <w:jc w:val="both"/>
              <w:rPr>
                <w:rFonts w:ascii="Verdana" w:eastAsia="Times New Roman" w:hAnsi="Verdana" w:cs="Arial"/>
                <w:b/>
                <w:spacing w:val="6"/>
                <w:sz w:val="20"/>
                <w:szCs w:val="20"/>
                <w:highlight w:val="yellow"/>
                <w:lang w:eastAsia="es-ES"/>
              </w:rPr>
            </w:pPr>
          </w:p>
        </w:tc>
      </w:tr>
    </w:tbl>
    <w:p w14:paraId="7B5184D7" w14:textId="77777777" w:rsidR="005F47B3" w:rsidRPr="00751151" w:rsidRDefault="005F47B3" w:rsidP="003467F0">
      <w:pPr>
        <w:rPr>
          <w:b/>
          <w:sz w:val="24"/>
          <w:szCs w:val="24"/>
        </w:rPr>
      </w:pPr>
    </w:p>
    <w:sectPr w:rsidR="005F47B3" w:rsidRPr="00751151" w:rsidSect="000D1AF6">
      <w:pgSz w:w="15840" w:h="12240" w:orient="landscape"/>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38D87" w14:textId="77777777" w:rsidR="0055437F" w:rsidRDefault="0055437F" w:rsidP="005763C7">
      <w:pPr>
        <w:spacing w:after="0" w:line="240" w:lineRule="auto"/>
      </w:pPr>
      <w:r>
        <w:separator/>
      </w:r>
    </w:p>
  </w:endnote>
  <w:endnote w:type="continuationSeparator" w:id="0">
    <w:p w14:paraId="26DA52AD" w14:textId="77777777" w:rsidR="0055437F" w:rsidRDefault="0055437F" w:rsidP="0057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1B40A" w14:textId="77777777" w:rsidR="0055437F" w:rsidRDefault="0055437F" w:rsidP="005763C7">
      <w:pPr>
        <w:spacing w:after="0" w:line="240" w:lineRule="auto"/>
      </w:pPr>
      <w:r>
        <w:separator/>
      </w:r>
    </w:p>
  </w:footnote>
  <w:footnote w:type="continuationSeparator" w:id="0">
    <w:p w14:paraId="287EDFE1" w14:textId="77777777" w:rsidR="0055437F" w:rsidRDefault="0055437F" w:rsidP="005763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14F09"/>
    <w:multiLevelType w:val="hybridMultilevel"/>
    <w:tmpl w:val="A558AE38"/>
    <w:lvl w:ilvl="0" w:tplc="340A0001">
      <w:start w:val="1"/>
      <w:numFmt w:val="bullet"/>
      <w:lvlText w:val=""/>
      <w:lvlJc w:val="left"/>
      <w:pPr>
        <w:ind w:left="1926" w:hanging="360"/>
      </w:pPr>
      <w:rPr>
        <w:rFonts w:ascii="Symbol" w:hAnsi="Symbol" w:hint="default"/>
      </w:rPr>
    </w:lvl>
    <w:lvl w:ilvl="1" w:tplc="340A0003" w:tentative="1">
      <w:start w:val="1"/>
      <w:numFmt w:val="bullet"/>
      <w:lvlText w:val="o"/>
      <w:lvlJc w:val="left"/>
      <w:pPr>
        <w:ind w:left="2646" w:hanging="360"/>
      </w:pPr>
      <w:rPr>
        <w:rFonts w:ascii="Courier New" w:hAnsi="Courier New" w:cs="Courier New" w:hint="default"/>
      </w:rPr>
    </w:lvl>
    <w:lvl w:ilvl="2" w:tplc="340A0005" w:tentative="1">
      <w:start w:val="1"/>
      <w:numFmt w:val="bullet"/>
      <w:lvlText w:val=""/>
      <w:lvlJc w:val="left"/>
      <w:pPr>
        <w:ind w:left="3366" w:hanging="360"/>
      </w:pPr>
      <w:rPr>
        <w:rFonts w:ascii="Wingdings" w:hAnsi="Wingdings" w:hint="default"/>
      </w:rPr>
    </w:lvl>
    <w:lvl w:ilvl="3" w:tplc="340A0001" w:tentative="1">
      <w:start w:val="1"/>
      <w:numFmt w:val="bullet"/>
      <w:lvlText w:val=""/>
      <w:lvlJc w:val="left"/>
      <w:pPr>
        <w:ind w:left="4086" w:hanging="360"/>
      </w:pPr>
      <w:rPr>
        <w:rFonts w:ascii="Symbol" w:hAnsi="Symbol" w:hint="default"/>
      </w:rPr>
    </w:lvl>
    <w:lvl w:ilvl="4" w:tplc="340A0003" w:tentative="1">
      <w:start w:val="1"/>
      <w:numFmt w:val="bullet"/>
      <w:lvlText w:val="o"/>
      <w:lvlJc w:val="left"/>
      <w:pPr>
        <w:ind w:left="4806" w:hanging="360"/>
      </w:pPr>
      <w:rPr>
        <w:rFonts w:ascii="Courier New" w:hAnsi="Courier New" w:cs="Courier New" w:hint="default"/>
      </w:rPr>
    </w:lvl>
    <w:lvl w:ilvl="5" w:tplc="340A0005" w:tentative="1">
      <w:start w:val="1"/>
      <w:numFmt w:val="bullet"/>
      <w:lvlText w:val=""/>
      <w:lvlJc w:val="left"/>
      <w:pPr>
        <w:ind w:left="5526" w:hanging="360"/>
      </w:pPr>
      <w:rPr>
        <w:rFonts w:ascii="Wingdings" w:hAnsi="Wingdings" w:hint="default"/>
      </w:rPr>
    </w:lvl>
    <w:lvl w:ilvl="6" w:tplc="340A0001" w:tentative="1">
      <w:start w:val="1"/>
      <w:numFmt w:val="bullet"/>
      <w:lvlText w:val=""/>
      <w:lvlJc w:val="left"/>
      <w:pPr>
        <w:ind w:left="6246" w:hanging="360"/>
      </w:pPr>
      <w:rPr>
        <w:rFonts w:ascii="Symbol" w:hAnsi="Symbol" w:hint="default"/>
      </w:rPr>
    </w:lvl>
    <w:lvl w:ilvl="7" w:tplc="340A0003" w:tentative="1">
      <w:start w:val="1"/>
      <w:numFmt w:val="bullet"/>
      <w:lvlText w:val="o"/>
      <w:lvlJc w:val="left"/>
      <w:pPr>
        <w:ind w:left="6966" w:hanging="360"/>
      </w:pPr>
      <w:rPr>
        <w:rFonts w:ascii="Courier New" w:hAnsi="Courier New" w:cs="Courier New" w:hint="default"/>
      </w:rPr>
    </w:lvl>
    <w:lvl w:ilvl="8" w:tplc="340A0005" w:tentative="1">
      <w:start w:val="1"/>
      <w:numFmt w:val="bullet"/>
      <w:lvlText w:val=""/>
      <w:lvlJc w:val="left"/>
      <w:pPr>
        <w:ind w:left="7686" w:hanging="360"/>
      </w:pPr>
      <w:rPr>
        <w:rFonts w:ascii="Wingdings" w:hAnsi="Wingdings" w:hint="default"/>
      </w:rPr>
    </w:lvl>
  </w:abstractNum>
  <w:abstractNum w:abstractNumId="1">
    <w:nsid w:val="25BC632B"/>
    <w:multiLevelType w:val="hybridMultilevel"/>
    <w:tmpl w:val="72220ED2"/>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9280BAB"/>
    <w:multiLevelType w:val="hybridMultilevel"/>
    <w:tmpl w:val="1DD4BE1A"/>
    <w:lvl w:ilvl="0" w:tplc="EACC38A2">
      <w:start w:val="1"/>
      <w:numFmt w:val="decimal"/>
      <w:lvlText w:val="%1)"/>
      <w:lvlJc w:val="left"/>
      <w:pPr>
        <w:ind w:left="1528" w:hanging="360"/>
      </w:pPr>
      <w:rPr>
        <w:rFonts w:hint="default"/>
      </w:rPr>
    </w:lvl>
    <w:lvl w:ilvl="1" w:tplc="340A0019" w:tentative="1">
      <w:start w:val="1"/>
      <w:numFmt w:val="lowerLetter"/>
      <w:lvlText w:val="%2."/>
      <w:lvlJc w:val="left"/>
      <w:pPr>
        <w:ind w:left="2248" w:hanging="360"/>
      </w:pPr>
    </w:lvl>
    <w:lvl w:ilvl="2" w:tplc="340A001B" w:tentative="1">
      <w:start w:val="1"/>
      <w:numFmt w:val="lowerRoman"/>
      <w:lvlText w:val="%3."/>
      <w:lvlJc w:val="right"/>
      <w:pPr>
        <w:ind w:left="2968" w:hanging="180"/>
      </w:pPr>
    </w:lvl>
    <w:lvl w:ilvl="3" w:tplc="340A000F" w:tentative="1">
      <w:start w:val="1"/>
      <w:numFmt w:val="decimal"/>
      <w:lvlText w:val="%4."/>
      <w:lvlJc w:val="left"/>
      <w:pPr>
        <w:ind w:left="3688" w:hanging="360"/>
      </w:pPr>
    </w:lvl>
    <w:lvl w:ilvl="4" w:tplc="340A0019" w:tentative="1">
      <w:start w:val="1"/>
      <w:numFmt w:val="lowerLetter"/>
      <w:lvlText w:val="%5."/>
      <w:lvlJc w:val="left"/>
      <w:pPr>
        <w:ind w:left="4408" w:hanging="360"/>
      </w:pPr>
    </w:lvl>
    <w:lvl w:ilvl="5" w:tplc="340A001B" w:tentative="1">
      <w:start w:val="1"/>
      <w:numFmt w:val="lowerRoman"/>
      <w:lvlText w:val="%6."/>
      <w:lvlJc w:val="right"/>
      <w:pPr>
        <w:ind w:left="5128" w:hanging="180"/>
      </w:pPr>
    </w:lvl>
    <w:lvl w:ilvl="6" w:tplc="340A000F" w:tentative="1">
      <w:start w:val="1"/>
      <w:numFmt w:val="decimal"/>
      <w:lvlText w:val="%7."/>
      <w:lvlJc w:val="left"/>
      <w:pPr>
        <w:ind w:left="5848" w:hanging="360"/>
      </w:pPr>
    </w:lvl>
    <w:lvl w:ilvl="7" w:tplc="340A0019" w:tentative="1">
      <w:start w:val="1"/>
      <w:numFmt w:val="lowerLetter"/>
      <w:lvlText w:val="%8."/>
      <w:lvlJc w:val="left"/>
      <w:pPr>
        <w:ind w:left="6568" w:hanging="360"/>
      </w:pPr>
    </w:lvl>
    <w:lvl w:ilvl="8" w:tplc="340A001B" w:tentative="1">
      <w:start w:val="1"/>
      <w:numFmt w:val="lowerRoman"/>
      <w:lvlText w:val="%9."/>
      <w:lvlJc w:val="right"/>
      <w:pPr>
        <w:ind w:left="7288" w:hanging="180"/>
      </w:pPr>
    </w:lvl>
  </w:abstractNum>
  <w:abstractNum w:abstractNumId="3">
    <w:nsid w:val="33E62B26"/>
    <w:multiLevelType w:val="hybridMultilevel"/>
    <w:tmpl w:val="035C1E5C"/>
    <w:lvl w:ilvl="0" w:tplc="F2BA7DAC">
      <w:start w:val="1"/>
      <w:numFmt w:val="lowerLetter"/>
      <w:lvlText w:val="%1)"/>
      <w:lvlJc w:val="left"/>
      <w:pPr>
        <w:ind w:left="1713" w:hanging="360"/>
      </w:pPr>
      <w:rPr>
        <w:strike w:val="0"/>
        <w:color w:val="auto"/>
      </w:rPr>
    </w:lvl>
    <w:lvl w:ilvl="1" w:tplc="BA222DEE">
      <w:start w:val="1"/>
      <w:numFmt w:val="lowerLetter"/>
      <w:lvlText w:val="%2."/>
      <w:lvlJc w:val="left"/>
      <w:pPr>
        <w:ind w:left="2433" w:hanging="360"/>
      </w:pPr>
      <w:rPr>
        <w:rFonts w:hint="default"/>
      </w:r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4">
    <w:nsid w:val="34DB717C"/>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9D72DD4"/>
    <w:multiLevelType w:val="hybridMultilevel"/>
    <w:tmpl w:val="11C2C3C0"/>
    <w:lvl w:ilvl="0" w:tplc="22208A4C">
      <w:start w:val="7"/>
      <w:numFmt w:val="bullet"/>
      <w:lvlText w:val="-"/>
      <w:lvlJc w:val="left"/>
      <w:pPr>
        <w:ind w:left="615" w:hanging="360"/>
      </w:pPr>
      <w:rPr>
        <w:rFonts w:ascii="Arial" w:eastAsiaTheme="minorHAnsi" w:hAnsi="Arial" w:cs="Arial" w:hint="default"/>
      </w:rPr>
    </w:lvl>
    <w:lvl w:ilvl="1" w:tplc="340A0003" w:tentative="1">
      <w:start w:val="1"/>
      <w:numFmt w:val="bullet"/>
      <w:lvlText w:val="o"/>
      <w:lvlJc w:val="left"/>
      <w:pPr>
        <w:ind w:left="1335" w:hanging="360"/>
      </w:pPr>
      <w:rPr>
        <w:rFonts w:ascii="Courier New" w:hAnsi="Courier New" w:cs="Courier New" w:hint="default"/>
      </w:rPr>
    </w:lvl>
    <w:lvl w:ilvl="2" w:tplc="340A0005" w:tentative="1">
      <w:start w:val="1"/>
      <w:numFmt w:val="bullet"/>
      <w:lvlText w:val=""/>
      <w:lvlJc w:val="left"/>
      <w:pPr>
        <w:ind w:left="2055" w:hanging="360"/>
      </w:pPr>
      <w:rPr>
        <w:rFonts w:ascii="Wingdings" w:hAnsi="Wingdings" w:hint="default"/>
      </w:rPr>
    </w:lvl>
    <w:lvl w:ilvl="3" w:tplc="340A0001" w:tentative="1">
      <w:start w:val="1"/>
      <w:numFmt w:val="bullet"/>
      <w:lvlText w:val=""/>
      <w:lvlJc w:val="left"/>
      <w:pPr>
        <w:ind w:left="2775" w:hanging="360"/>
      </w:pPr>
      <w:rPr>
        <w:rFonts w:ascii="Symbol" w:hAnsi="Symbol" w:hint="default"/>
      </w:rPr>
    </w:lvl>
    <w:lvl w:ilvl="4" w:tplc="340A0003" w:tentative="1">
      <w:start w:val="1"/>
      <w:numFmt w:val="bullet"/>
      <w:lvlText w:val="o"/>
      <w:lvlJc w:val="left"/>
      <w:pPr>
        <w:ind w:left="3495" w:hanging="360"/>
      </w:pPr>
      <w:rPr>
        <w:rFonts w:ascii="Courier New" w:hAnsi="Courier New" w:cs="Courier New" w:hint="default"/>
      </w:rPr>
    </w:lvl>
    <w:lvl w:ilvl="5" w:tplc="340A0005" w:tentative="1">
      <w:start w:val="1"/>
      <w:numFmt w:val="bullet"/>
      <w:lvlText w:val=""/>
      <w:lvlJc w:val="left"/>
      <w:pPr>
        <w:ind w:left="4215" w:hanging="360"/>
      </w:pPr>
      <w:rPr>
        <w:rFonts w:ascii="Wingdings" w:hAnsi="Wingdings" w:hint="default"/>
      </w:rPr>
    </w:lvl>
    <w:lvl w:ilvl="6" w:tplc="340A0001" w:tentative="1">
      <w:start w:val="1"/>
      <w:numFmt w:val="bullet"/>
      <w:lvlText w:val=""/>
      <w:lvlJc w:val="left"/>
      <w:pPr>
        <w:ind w:left="4935" w:hanging="360"/>
      </w:pPr>
      <w:rPr>
        <w:rFonts w:ascii="Symbol" w:hAnsi="Symbol" w:hint="default"/>
      </w:rPr>
    </w:lvl>
    <w:lvl w:ilvl="7" w:tplc="340A0003" w:tentative="1">
      <w:start w:val="1"/>
      <w:numFmt w:val="bullet"/>
      <w:lvlText w:val="o"/>
      <w:lvlJc w:val="left"/>
      <w:pPr>
        <w:ind w:left="5655" w:hanging="360"/>
      </w:pPr>
      <w:rPr>
        <w:rFonts w:ascii="Courier New" w:hAnsi="Courier New" w:cs="Courier New" w:hint="default"/>
      </w:rPr>
    </w:lvl>
    <w:lvl w:ilvl="8" w:tplc="340A0005" w:tentative="1">
      <w:start w:val="1"/>
      <w:numFmt w:val="bullet"/>
      <w:lvlText w:val=""/>
      <w:lvlJc w:val="left"/>
      <w:pPr>
        <w:ind w:left="6375" w:hanging="360"/>
      </w:pPr>
      <w:rPr>
        <w:rFonts w:ascii="Wingdings" w:hAnsi="Wingdings" w:hint="default"/>
      </w:rPr>
    </w:lvl>
  </w:abstractNum>
  <w:abstractNum w:abstractNumId="6">
    <w:nsid w:val="3BFF68FB"/>
    <w:multiLevelType w:val="hybridMultilevel"/>
    <w:tmpl w:val="F8544C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DDA188D"/>
    <w:multiLevelType w:val="hybridMultilevel"/>
    <w:tmpl w:val="41920F1A"/>
    <w:lvl w:ilvl="0" w:tplc="22208A4C">
      <w:start w:val="7"/>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35E310B"/>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50B7081"/>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64D3466"/>
    <w:multiLevelType w:val="hybridMultilevel"/>
    <w:tmpl w:val="6E2E7176"/>
    <w:lvl w:ilvl="0" w:tplc="F00E027C">
      <w:start w:val="1"/>
      <w:numFmt w:val="bullet"/>
      <w:lvlText w:val="­"/>
      <w:lvlJc w:val="left"/>
      <w:pPr>
        <w:ind w:left="1778" w:hanging="360"/>
      </w:pPr>
      <w:rPr>
        <w:rFonts w:ascii="Courier New" w:hAnsi="Courier New"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1">
    <w:nsid w:val="468E6AE5"/>
    <w:multiLevelType w:val="hybridMultilevel"/>
    <w:tmpl w:val="5C0469D8"/>
    <w:lvl w:ilvl="0" w:tplc="22208A4C">
      <w:start w:val="7"/>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58E724A"/>
    <w:multiLevelType w:val="hybridMultilevel"/>
    <w:tmpl w:val="85A0CF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9A85382"/>
    <w:multiLevelType w:val="hybridMultilevel"/>
    <w:tmpl w:val="9FB2EB0A"/>
    <w:lvl w:ilvl="0" w:tplc="8E7A4BF0">
      <w:start w:val="1"/>
      <w:numFmt w:val="lowerLetter"/>
      <w:lvlText w:val="%1)"/>
      <w:lvlJc w:val="left"/>
      <w:pPr>
        <w:ind w:left="735" w:hanging="360"/>
      </w:pPr>
      <w:rPr>
        <w:rFonts w:hint="default"/>
        <w:b w:val="0"/>
      </w:rPr>
    </w:lvl>
    <w:lvl w:ilvl="1" w:tplc="340A0019" w:tentative="1">
      <w:start w:val="1"/>
      <w:numFmt w:val="lowerLetter"/>
      <w:lvlText w:val="%2."/>
      <w:lvlJc w:val="left"/>
      <w:pPr>
        <w:ind w:left="1455" w:hanging="360"/>
      </w:pPr>
    </w:lvl>
    <w:lvl w:ilvl="2" w:tplc="340A001B" w:tentative="1">
      <w:start w:val="1"/>
      <w:numFmt w:val="lowerRoman"/>
      <w:lvlText w:val="%3."/>
      <w:lvlJc w:val="right"/>
      <w:pPr>
        <w:ind w:left="2175" w:hanging="180"/>
      </w:pPr>
    </w:lvl>
    <w:lvl w:ilvl="3" w:tplc="340A000F" w:tentative="1">
      <w:start w:val="1"/>
      <w:numFmt w:val="decimal"/>
      <w:lvlText w:val="%4."/>
      <w:lvlJc w:val="left"/>
      <w:pPr>
        <w:ind w:left="2895" w:hanging="360"/>
      </w:pPr>
    </w:lvl>
    <w:lvl w:ilvl="4" w:tplc="340A0019" w:tentative="1">
      <w:start w:val="1"/>
      <w:numFmt w:val="lowerLetter"/>
      <w:lvlText w:val="%5."/>
      <w:lvlJc w:val="left"/>
      <w:pPr>
        <w:ind w:left="3615" w:hanging="360"/>
      </w:pPr>
    </w:lvl>
    <w:lvl w:ilvl="5" w:tplc="340A001B" w:tentative="1">
      <w:start w:val="1"/>
      <w:numFmt w:val="lowerRoman"/>
      <w:lvlText w:val="%6."/>
      <w:lvlJc w:val="right"/>
      <w:pPr>
        <w:ind w:left="4335" w:hanging="180"/>
      </w:pPr>
    </w:lvl>
    <w:lvl w:ilvl="6" w:tplc="340A000F" w:tentative="1">
      <w:start w:val="1"/>
      <w:numFmt w:val="decimal"/>
      <w:lvlText w:val="%7."/>
      <w:lvlJc w:val="left"/>
      <w:pPr>
        <w:ind w:left="5055" w:hanging="360"/>
      </w:pPr>
    </w:lvl>
    <w:lvl w:ilvl="7" w:tplc="340A0019" w:tentative="1">
      <w:start w:val="1"/>
      <w:numFmt w:val="lowerLetter"/>
      <w:lvlText w:val="%8."/>
      <w:lvlJc w:val="left"/>
      <w:pPr>
        <w:ind w:left="5775" w:hanging="360"/>
      </w:pPr>
    </w:lvl>
    <w:lvl w:ilvl="8" w:tplc="340A001B" w:tentative="1">
      <w:start w:val="1"/>
      <w:numFmt w:val="lowerRoman"/>
      <w:lvlText w:val="%9."/>
      <w:lvlJc w:val="right"/>
      <w:pPr>
        <w:ind w:left="6495" w:hanging="180"/>
      </w:pPr>
    </w:lvl>
  </w:abstractNum>
  <w:abstractNum w:abstractNumId="14">
    <w:nsid w:val="679D47ED"/>
    <w:multiLevelType w:val="hybridMultilevel"/>
    <w:tmpl w:val="461871D4"/>
    <w:lvl w:ilvl="0" w:tplc="340A0017">
      <w:start w:val="1"/>
      <w:numFmt w:val="lowerLetter"/>
      <w:lvlText w:val="%1)"/>
      <w:lvlJc w:val="left"/>
      <w:pPr>
        <w:ind w:left="1713" w:hanging="360"/>
      </w:pPr>
    </w:lvl>
    <w:lvl w:ilvl="1" w:tplc="340A0017">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15">
    <w:nsid w:val="75922580"/>
    <w:multiLevelType w:val="hybridMultilevel"/>
    <w:tmpl w:val="B3E4B4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7AA7EFD"/>
    <w:multiLevelType w:val="hybridMultilevel"/>
    <w:tmpl w:val="BAB68388"/>
    <w:lvl w:ilvl="0" w:tplc="340A0017">
      <w:start w:val="1"/>
      <w:numFmt w:val="lowerLetter"/>
      <w:lvlText w:val="%1)"/>
      <w:lvlJc w:val="left"/>
      <w:pPr>
        <w:ind w:left="1713" w:hanging="360"/>
      </w:pPr>
    </w:lvl>
    <w:lvl w:ilvl="1" w:tplc="5C605DFE">
      <w:start w:val="1"/>
      <w:numFmt w:val="lowerRoman"/>
      <w:lvlText w:val="%2."/>
      <w:lvlJc w:val="left"/>
      <w:pPr>
        <w:ind w:left="2793" w:hanging="720"/>
      </w:pPr>
      <w:rPr>
        <w:rFonts w:hint="default"/>
      </w:r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17">
    <w:nsid w:val="7EED20ED"/>
    <w:multiLevelType w:val="hybridMultilevel"/>
    <w:tmpl w:val="85A0CF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17"/>
  </w:num>
  <w:num w:numId="5">
    <w:abstractNumId w:val="12"/>
  </w:num>
  <w:num w:numId="6">
    <w:abstractNumId w:val="15"/>
  </w:num>
  <w:num w:numId="7">
    <w:abstractNumId w:val="1"/>
  </w:num>
  <w:num w:numId="8">
    <w:abstractNumId w:val="6"/>
  </w:num>
  <w:num w:numId="9">
    <w:abstractNumId w:val="13"/>
  </w:num>
  <w:num w:numId="10">
    <w:abstractNumId w:val="2"/>
  </w:num>
  <w:num w:numId="11">
    <w:abstractNumId w:val="7"/>
  </w:num>
  <w:num w:numId="12">
    <w:abstractNumId w:val="11"/>
  </w:num>
  <w:num w:numId="13">
    <w:abstractNumId w:val="16"/>
  </w:num>
  <w:num w:numId="14">
    <w:abstractNumId w:val="4"/>
  </w:num>
  <w:num w:numId="15">
    <w:abstractNumId w:val="3"/>
  </w:num>
  <w:num w:numId="16">
    <w:abstractNumId w:val="8"/>
  </w:num>
  <w:num w:numId="17">
    <w:abstractNumId w:val="14"/>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ardo Leñam Paris">
    <w15:presenceInfo w15:providerId="AD" w15:userId="S-1-5-21-2098021264-696980182-1749447093-11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B3"/>
    <w:rsid w:val="00005543"/>
    <w:rsid w:val="00011AD2"/>
    <w:rsid w:val="00014605"/>
    <w:rsid w:val="00015AE4"/>
    <w:rsid w:val="00035CA5"/>
    <w:rsid w:val="000418D1"/>
    <w:rsid w:val="00043937"/>
    <w:rsid w:val="0005139F"/>
    <w:rsid w:val="000602D9"/>
    <w:rsid w:val="00067086"/>
    <w:rsid w:val="00070A6D"/>
    <w:rsid w:val="00092508"/>
    <w:rsid w:val="00094297"/>
    <w:rsid w:val="00094C9D"/>
    <w:rsid w:val="000D1AF6"/>
    <w:rsid w:val="000D6FB2"/>
    <w:rsid w:val="000F35E2"/>
    <w:rsid w:val="000F42E5"/>
    <w:rsid w:val="000F564A"/>
    <w:rsid w:val="0010362A"/>
    <w:rsid w:val="00124473"/>
    <w:rsid w:val="00136598"/>
    <w:rsid w:val="00142699"/>
    <w:rsid w:val="001524DE"/>
    <w:rsid w:val="00156898"/>
    <w:rsid w:val="00165F32"/>
    <w:rsid w:val="00174490"/>
    <w:rsid w:val="0018561C"/>
    <w:rsid w:val="00192544"/>
    <w:rsid w:val="00193F94"/>
    <w:rsid w:val="001B01A7"/>
    <w:rsid w:val="001C455B"/>
    <w:rsid w:val="001E4A6A"/>
    <w:rsid w:val="00211B5C"/>
    <w:rsid w:val="00225E59"/>
    <w:rsid w:val="00233CFA"/>
    <w:rsid w:val="00233D9E"/>
    <w:rsid w:val="00240207"/>
    <w:rsid w:val="00253113"/>
    <w:rsid w:val="00264314"/>
    <w:rsid w:val="00281320"/>
    <w:rsid w:val="00287EF8"/>
    <w:rsid w:val="00296F4B"/>
    <w:rsid w:val="002A3852"/>
    <w:rsid w:val="002A3CF3"/>
    <w:rsid w:val="002C08DF"/>
    <w:rsid w:val="002C7629"/>
    <w:rsid w:val="002D7579"/>
    <w:rsid w:val="002F1E7C"/>
    <w:rsid w:val="00303F0B"/>
    <w:rsid w:val="0030553A"/>
    <w:rsid w:val="0030753A"/>
    <w:rsid w:val="00340EC0"/>
    <w:rsid w:val="003467F0"/>
    <w:rsid w:val="00362BB6"/>
    <w:rsid w:val="00367C00"/>
    <w:rsid w:val="00376FA3"/>
    <w:rsid w:val="00380EBB"/>
    <w:rsid w:val="00384F5F"/>
    <w:rsid w:val="003861A0"/>
    <w:rsid w:val="00391DA2"/>
    <w:rsid w:val="003D12D2"/>
    <w:rsid w:val="003E23CA"/>
    <w:rsid w:val="003F2628"/>
    <w:rsid w:val="004048CB"/>
    <w:rsid w:val="00432A8F"/>
    <w:rsid w:val="00441081"/>
    <w:rsid w:val="00450030"/>
    <w:rsid w:val="00451025"/>
    <w:rsid w:val="00474C1A"/>
    <w:rsid w:val="00474ED3"/>
    <w:rsid w:val="00475113"/>
    <w:rsid w:val="00476444"/>
    <w:rsid w:val="004800DF"/>
    <w:rsid w:val="0048491B"/>
    <w:rsid w:val="00495B56"/>
    <w:rsid w:val="00497C0A"/>
    <w:rsid w:val="004A20AE"/>
    <w:rsid w:val="004A5233"/>
    <w:rsid w:val="004A5F66"/>
    <w:rsid w:val="004A6282"/>
    <w:rsid w:val="004B1416"/>
    <w:rsid w:val="004B4A98"/>
    <w:rsid w:val="004C7AB2"/>
    <w:rsid w:val="004D15E7"/>
    <w:rsid w:val="004D281C"/>
    <w:rsid w:val="004D7704"/>
    <w:rsid w:val="004E61B0"/>
    <w:rsid w:val="004E6FDA"/>
    <w:rsid w:val="004F0DFF"/>
    <w:rsid w:val="00507712"/>
    <w:rsid w:val="00515164"/>
    <w:rsid w:val="00515F86"/>
    <w:rsid w:val="005215F0"/>
    <w:rsid w:val="00541B3B"/>
    <w:rsid w:val="005479C3"/>
    <w:rsid w:val="00550613"/>
    <w:rsid w:val="0055437F"/>
    <w:rsid w:val="00555055"/>
    <w:rsid w:val="005570DA"/>
    <w:rsid w:val="00564B79"/>
    <w:rsid w:val="00564ED5"/>
    <w:rsid w:val="00571D44"/>
    <w:rsid w:val="00575ADC"/>
    <w:rsid w:val="005763C7"/>
    <w:rsid w:val="00576B4F"/>
    <w:rsid w:val="005826B3"/>
    <w:rsid w:val="005869D7"/>
    <w:rsid w:val="005901A7"/>
    <w:rsid w:val="00591D71"/>
    <w:rsid w:val="005923F1"/>
    <w:rsid w:val="005B3F6B"/>
    <w:rsid w:val="005D6C81"/>
    <w:rsid w:val="005F47B3"/>
    <w:rsid w:val="0060234E"/>
    <w:rsid w:val="006061BC"/>
    <w:rsid w:val="00611DE5"/>
    <w:rsid w:val="006258C4"/>
    <w:rsid w:val="00631905"/>
    <w:rsid w:val="00640861"/>
    <w:rsid w:val="00645838"/>
    <w:rsid w:val="00647686"/>
    <w:rsid w:val="00651BA6"/>
    <w:rsid w:val="00656611"/>
    <w:rsid w:val="00661917"/>
    <w:rsid w:val="00673E83"/>
    <w:rsid w:val="00684CE7"/>
    <w:rsid w:val="00697A98"/>
    <w:rsid w:val="006B252E"/>
    <w:rsid w:val="006C1E60"/>
    <w:rsid w:val="006D2ADC"/>
    <w:rsid w:val="006D375F"/>
    <w:rsid w:val="006D46E4"/>
    <w:rsid w:val="006D626F"/>
    <w:rsid w:val="006E021E"/>
    <w:rsid w:val="006E15DD"/>
    <w:rsid w:val="006E7AB2"/>
    <w:rsid w:val="006F2F51"/>
    <w:rsid w:val="00716F6E"/>
    <w:rsid w:val="00717894"/>
    <w:rsid w:val="0073032D"/>
    <w:rsid w:val="0073286B"/>
    <w:rsid w:val="007405E3"/>
    <w:rsid w:val="00751151"/>
    <w:rsid w:val="00781398"/>
    <w:rsid w:val="00790858"/>
    <w:rsid w:val="0079480F"/>
    <w:rsid w:val="00795053"/>
    <w:rsid w:val="0079639A"/>
    <w:rsid w:val="00796E4C"/>
    <w:rsid w:val="007A2F5F"/>
    <w:rsid w:val="007A3616"/>
    <w:rsid w:val="007A75F4"/>
    <w:rsid w:val="007B19F2"/>
    <w:rsid w:val="007C03D0"/>
    <w:rsid w:val="007D6663"/>
    <w:rsid w:val="007E3980"/>
    <w:rsid w:val="00806719"/>
    <w:rsid w:val="008436CB"/>
    <w:rsid w:val="00873D75"/>
    <w:rsid w:val="00876380"/>
    <w:rsid w:val="008907DB"/>
    <w:rsid w:val="00894F6C"/>
    <w:rsid w:val="008B0ADF"/>
    <w:rsid w:val="008C274F"/>
    <w:rsid w:val="008F6F38"/>
    <w:rsid w:val="00900BC5"/>
    <w:rsid w:val="00907AE0"/>
    <w:rsid w:val="00912807"/>
    <w:rsid w:val="00915208"/>
    <w:rsid w:val="00917169"/>
    <w:rsid w:val="00923001"/>
    <w:rsid w:val="00935851"/>
    <w:rsid w:val="00936152"/>
    <w:rsid w:val="00940CE5"/>
    <w:rsid w:val="00943376"/>
    <w:rsid w:val="00946155"/>
    <w:rsid w:val="00953A9F"/>
    <w:rsid w:val="00960281"/>
    <w:rsid w:val="00962B27"/>
    <w:rsid w:val="00962F6F"/>
    <w:rsid w:val="009715E2"/>
    <w:rsid w:val="0098381E"/>
    <w:rsid w:val="009903E3"/>
    <w:rsid w:val="00991D46"/>
    <w:rsid w:val="009A4C8F"/>
    <w:rsid w:val="009A6C38"/>
    <w:rsid w:val="009D28B7"/>
    <w:rsid w:val="009D391F"/>
    <w:rsid w:val="009D6079"/>
    <w:rsid w:val="00A02D01"/>
    <w:rsid w:val="00A11267"/>
    <w:rsid w:val="00A414CB"/>
    <w:rsid w:val="00A431F1"/>
    <w:rsid w:val="00A43654"/>
    <w:rsid w:val="00A519B5"/>
    <w:rsid w:val="00A54F9B"/>
    <w:rsid w:val="00A74E09"/>
    <w:rsid w:val="00A85482"/>
    <w:rsid w:val="00A917BC"/>
    <w:rsid w:val="00A94B50"/>
    <w:rsid w:val="00AC242E"/>
    <w:rsid w:val="00AC7B38"/>
    <w:rsid w:val="00AF4FB3"/>
    <w:rsid w:val="00B10F61"/>
    <w:rsid w:val="00B13DC7"/>
    <w:rsid w:val="00B2111F"/>
    <w:rsid w:val="00B31246"/>
    <w:rsid w:val="00B371E6"/>
    <w:rsid w:val="00B43E1B"/>
    <w:rsid w:val="00B475B7"/>
    <w:rsid w:val="00B568BF"/>
    <w:rsid w:val="00B60499"/>
    <w:rsid w:val="00B64CF1"/>
    <w:rsid w:val="00BA54FB"/>
    <w:rsid w:val="00BA6544"/>
    <w:rsid w:val="00BB483F"/>
    <w:rsid w:val="00BB63AE"/>
    <w:rsid w:val="00BC2E9E"/>
    <w:rsid w:val="00BD01B4"/>
    <w:rsid w:val="00BD4E3A"/>
    <w:rsid w:val="00BD4E66"/>
    <w:rsid w:val="00BD4F7E"/>
    <w:rsid w:val="00BE3769"/>
    <w:rsid w:val="00BE6F58"/>
    <w:rsid w:val="00BF48CA"/>
    <w:rsid w:val="00BF608F"/>
    <w:rsid w:val="00C02997"/>
    <w:rsid w:val="00C0366A"/>
    <w:rsid w:val="00C16DEC"/>
    <w:rsid w:val="00C225A9"/>
    <w:rsid w:val="00C3228B"/>
    <w:rsid w:val="00C35C70"/>
    <w:rsid w:val="00C43668"/>
    <w:rsid w:val="00C44D33"/>
    <w:rsid w:val="00C45BB2"/>
    <w:rsid w:val="00C46B4C"/>
    <w:rsid w:val="00C60E4B"/>
    <w:rsid w:val="00C868A0"/>
    <w:rsid w:val="00C9023E"/>
    <w:rsid w:val="00C91E49"/>
    <w:rsid w:val="00CA1C90"/>
    <w:rsid w:val="00CA338B"/>
    <w:rsid w:val="00CA4F36"/>
    <w:rsid w:val="00CB2E7B"/>
    <w:rsid w:val="00CC1C88"/>
    <w:rsid w:val="00CD28F1"/>
    <w:rsid w:val="00CD3A8E"/>
    <w:rsid w:val="00CE1BCB"/>
    <w:rsid w:val="00CE7155"/>
    <w:rsid w:val="00CF0B54"/>
    <w:rsid w:val="00D00BAB"/>
    <w:rsid w:val="00D111CA"/>
    <w:rsid w:val="00D14F8C"/>
    <w:rsid w:val="00D16042"/>
    <w:rsid w:val="00D3021B"/>
    <w:rsid w:val="00D3165E"/>
    <w:rsid w:val="00D32AE4"/>
    <w:rsid w:val="00D41D2A"/>
    <w:rsid w:val="00D448BC"/>
    <w:rsid w:val="00D50032"/>
    <w:rsid w:val="00D6443E"/>
    <w:rsid w:val="00D84BF1"/>
    <w:rsid w:val="00D97092"/>
    <w:rsid w:val="00DA5832"/>
    <w:rsid w:val="00DB0114"/>
    <w:rsid w:val="00DB3554"/>
    <w:rsid w:val="00DB7DA9"/>
    <w:rsid w:val="00DD3442"/>
    <w:rsid w:val="00DD3968"/>
    <w:rsid w:val="00DD443E"/>
    <w:rsid w:val="00DE6A8F"/>
    <w:rsid w:val="00DF2CBB"/>
    <w:rsid w:val="00DF508C"/>
    <w:rsid w:val="00E024E8"/>
    <w:rsid w:val="00E1275D"/>
    <w:rsid w:val="00E2042B"/>
    <w:rsid w:val="00E2177B"/>
    <w:rsid w:val="00E23DCB"/>
    <w:rsid w:val="00E3349D"/>
    <w:rsid w:val="00E35A1D"/>
    <w:rsid w:val="00E37946"/>
    <w:rsid w:val="00E37C6A"/>
    <w:rsid w:val="00E47F5D"/>
    <w:rsid w:val="00E53F23"/>
    <w:rsid w:val="00E672C5"/>
    <w:rsid w:val="00E76F70"/>
    <w:rsid w:val="00E80D4E"/>
    <w:rsid w:val="00E93B5A"/>
    <w:rsid w:val="00EA5A81"/>
    <w:rsid w:val="00EB708B"/>
    <w:rsid w:val="00EC02EB"/>
    <w:rsid w:val="00EC0702"/>
    <w:rsid w:val="00ED470F"/>
    <w:rsid w:val="00EE5272"/>
    <w:rsid w:val="00EF0C1A"/>
    <w:rsid w:val="00F0069B"/>
    <w:rsid w:val="00F1255D"/>
    <w:rsid w:val="00F142C2"/>
    <w:rsid w:val="00F37335"/>
    <w:rsid w:val="00F44641"/>
    <w:rsid w:val="00F51184"/>
    <w:rsid w:val="00F66DB8"/>
    <w:rsid w:val="00F75076"/>
    <w:rsid w:val="00F916F7"/>
    <w:rsid w:val="00F91F3A"/>
    <w:rsid w:val="00F93D47"/>
    <w:rsid w:val="00FB659F"/>
    <w:rsid w:val="00FB665F"/>
    <w:rsid w:val="00FC07C5"/>
    <w:rsid w:val="00FD1D7C"/>
    <w:rsid w:val="00FD6E2A"/>
    <w:rsid w:val="00FE44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F4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C91E49"/>
    <w:rPr>
      <w:sz w:val="16"/>
      <w:szCs w:val="16"/>
    </w:rPr>
  </w:style>
  <w:style w:type="paragraph" w:styleId="Textocomentario">
    <w:name w:val="annotation text"/>
    <w:basedOn w:val="Normal"/>
    <w:link w:val="TextocomentarioCar"/>
    <w:uiPriority w:val="99"/>
    <w:unhideWhenUsed/>
    <w:rsid w:val="00C91E49"/>
    <w:pPr>
      <w:spacing w:line="240" w:lineRule="auto"/>
    </w:pPr>
    <w:rPr>
      <w:sz w:val="20"/>
      <w:szCs w:val="20"/>
    </w:rPr>
  </w:style>
  <w:style w:type="character" w:customStyle="1" w:styleId="TextocomentarioCar">
    <w:name w:val="Texto comentario Car"/>
    <w:basedOn w:val="Fuentedeprrafopredeter"/>
    <w:link w:val="Textocomentario"/>
    <w:uiPriority w:val="99"/>
    <w:rsid w:val="00C91E49"/>
    <w:rPr>
      <w:sz w:val="20"/>
      <w:szCs w:val="20"/>
    </w:rPr>
  </w:style>
  <w:style w:type="paragraph" w:styleId="Asuntodelcomentario">
    <w:name w:val="annotation subject"/>
    <w:basedOn w:val="Textocomentario"/>
    <w:next w:val="Textocomentario"/>
    <w:link w:val="AsuntodelcomentarioCar"/>
    <w:uiPriority w:val="99"/>
    <w:semiHidden/>
    <w:unhideWhenUsed/>
    <w:rsid w:val="00C91E49"/>
    <w:rPr>
      <w:b/>
      <w:bCs/>
    </w:rPr>
  </w:style>
  <w:style w:type="character" w:customStyle="1" w:styleId="AsuntodelcomentarioCar">
    <w:name w:val="Asunto del comentario Car"/>
    <w:basedOn w:val="TextocomentarioCar"/>
    <w:link w:val="Asuntodelcomentario"/>
    <w:uiPriority w:val="99"/>
    <w:semiHidden/>
    <w:rsid w:val="00C91E49"/>
    <w:rPr>
      <w:b/>
      <w:bCs/>
      <w:sz w:val="20"/>
      <w:szCs w:val="20"/>
    </w:rPr>
  </w:style>
  <w:style w:type="paragraph" w:styleId="Textodeglobo">
    <w:name w:val="Balloon Text"/>
    <w:basedOn w:val="Normal"/>
    <w:link w:val="TextodegloboCar"/>
    <w:uiPriority w:val="99"/>
    <w:semiHidden/>
    <w:unhideWhenUsed/>
    <w:rsid w:val="00C91E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E49"/>
    <w:rPr>
      <w:rFonts w:ascii="Tahoma" w:hAnsi="Tahoma" w:cs="Tahoma"/>
      <w:sz w:val="16"/>
      <w:szCs w:val="16"/>
    </w:rPr>
  </w:style>
  <w:style w:type="paragraph" w:styleId="Prrafodelista">
    <w:name w:val="List Paragraph"/>
    <w:basedOn w:val="Normal"/>
    <w:uiPriority w:val="34"/>
    <w:qFormat/>
    <w:rsid w:val="00E2177B"/>
    <w:pPr>
      <w:ind w:left="720"/>
      <w:contextualSpacing/>
    </w:pPr>
  </w:style>
  <w:style w:type="paragraph" w:customStyle="1" w:styleId="Estilo1">
    <w:name w:val="Estilo1"/>
    <w:basedOn w:val="Textoindependiente"/>
    <w:rsid w:val="006061BC"/>
    <w:pPr>
      <w:overflowPunct w:val="0"/>
      <w:autoSpaceDE w:val="0"/>
      <w:autoSpaceDN w:val="0"/>
      <w:adjustRightInd w:val="0"/>
      <w:spacing w:line="240" w:lineRule="auto"/>
      <w:jc w:val="both"/>
      <w:textAlignment w:val="baseline"/>
    </w:pPr>
    <w:rPr>
      <w:rFonts w:ascii="Arial" w:eastAsia="Times New Roman" w:hAnsi="Arial" w:cs="Times New Roman"/>
      <w:noProof/>
      <w:szCs w:val="20"/>
      <w:lang w:val="es-ES" w:eastAsia="es-ES"/>
    </w:rPr>
  </w:style>
  <w:style w:type="paragraph" w:customStyle="1" w:styleId="Sangra3detindependiente1">
    <w:name w:val="Sangría 3 de t. independiente1"/>
    <w:basedOn w:val="Normal"/>
    <w:rsid w:val="006061BC"/>
    <w:pPr>
      <w:overflowPunct w:val="0"/>
      <w:autoSpaceDE w:val="0"/>
      <w:autoSpaceDN w:val="0"/>
      <w:adjustRightInd w:val="0"/>
      <w:spacing w:after="0" w:line="240" w:lineRule="auto"/>
      <w:ind w:firstLine="1276"/>
      <w:jc w:val="both"/>
      <w:textAlignment w:val="baseline"/>
    </w:pPr>
    <w:rPr>
      <w:rFonts w:ascii="Arial" w:eastAsia="Times New Roman" w:hAnsi="Arial" w:cs="Times New Roman"/>
      <w:i/>
      <w:sz w:val="24"/>
      <w:szCs w:val="20"/>
      <w:lang w:eastAsia="es-ES"/>
    </w:rPr>
  </w:style>
  <w:style w:type="paragraph" w:styleId="Textoindependiente">
    <w:name w:val="Body Text"/>
    <w:basedOn w:val="Normal"/>
    <w:link w:val="TextoindependienteCar"/>
    <w:uiPriority w:val="99"/>
    <w:semiHidden/>
    <w:unhideWhenUsed/>
    <w:rsid w:val="006061BC"/>
    <w:pPr>
      <w:spacing w:after="120"/>
    </w:pPr>
  </w:style>
  <w:style w:type="character" w:customStyle="1" w:styleId="TextoindependienteCar">
    <w:name w:val="Texto independiente Car"/>
    <w:basedOn w:val="Fuentedeprrafopredeter"/>
    <w:link w:val="Textoindependiente"/>
    <w:uiPriority w:val="99"/>
    <w:semiHidden/>
    <w:rsid w:val="006061BC"/>
  </w:style>
  <w:style w:type="paragraph" w:styleId="Textonotapie">
    <w:name w:val="footnote text"/>
    <w:basedOn w:val="Normal"/>
    <w:link w:val="TextonotapieCar"/>
    <w:uiPriority w:val="99"/>
    <w:semiHidden/>
    <w:unhideWhenUsed/>
    <w:rsid w:val="005763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63C7"/>
    <w:rPr>
      <w:sz w:val="20"/>
      <w:szCs w:val="20"/>
    </w:rPr>
  </w:style>
  <w:style w:type="character" w:styleId="Refdenotaalpie">
    <w:name w:val="footnote reference"/>
    <w:semiHidden/>
    <w:rsid w:val="005763C7"/>
    <w:rPr>
      <w:vertAlign w:val="superscript"/>
    </w:rPr>
  </w:style>
  <w:style w:type="paragraph" w:styleId="Sangradetextonormal">
    <w:name w:val="Body Text Indent"/>
    <w:basedOn w:val="Normal"/>
    <w:link w:val="SangradetextonormalCar"/>
    <w:uiPriority w:val="99"/>
    <w:semiHidden/>
    <w:unhideWhenUsed/>
    <w:rsid w:val="0030553A"/>
    <w:pPr>
      <w:spacing w:after="120"/>
      <w:ind w:left="283"/>
    </w:pPr>
  </w:style>
  <w:style w:type="character" w:customStyle="1" w:styleId="SangradetextonormalCar">
    <w:name w:val="Sangría de texto normal Car"/>
    <w:basedOn w:val="Fuentedeprrafopredeter"/>
    <w:link w:val="Sangradetextonormal"/>
    <w:uiPriority w:val="99"/>
    <w:semiHidden/>
    <w:rsid w:val="003055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F4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C91E49"/>
    <w:rPr>
      <w:sz w:val="16"/>
      <w:szCs w:val="16"/>
    </w:rPr>
  </w:style>
  <w:style w:type="paragraph" w:styleId="Textocomentario">
    <w:name w:val="annotation text"/>
    <w:basedOn w:val="Normal"/>
    <w:link w:val="TextocomentarioCar"/>
    <w:uiPriority w:val="99"/>
    <w:unhideWhenUsed/>
    <w:rsid w:val="00C91E49"/>
    <w:pPr>
      <w:spacing w:line="240" w:lineRule="auto"/>
    </w:pPr>
    <w:rPr>
      <w:sz w:val="20"/>
      <w:szCs w:val="20"/>
    </w:rPr>
  </w:style>
  <w:style w:type="character" w:customStyle="1" w:styleId="TextocomentarioCar">
    <w:name w:val="Texto comentario Car"/>
    <w:basedOn w:val="Fuentedeprrafopredeter"/>
    <w:link w:val="Textocomentario"/>
    <w:uiPriority w:val="99"/>
    <w:rsid w:val="00C91E49"/>
    <w:rPr>
      <w:sz w:val="20"/>
      <w:szCs w:val="20"/>
    </w:rPr>
  </w:style>
  <w:style w:type="paragraph" w:styleId="Asuntodelcomentario">
    <w:name w:val="annotation subject"/>
    <w:basedOn w:val="Textocomentario"/>
    <w:next w:val="Textocomentario"/>
    <w:link w:val="AsuntodelcomentarioCar"/>
    <w:uiPriority w:val="99"/>
    <w:semiHidden/>
    <w:unhideWhenUsed/>
    <w:rsid w:val="00C91E49"/>
    <w:rPr>
      <w:b/>
      <w:bCs/>
    </w:rPr>
  </w:style>
  <w:style w:type="character" w:customStyle="1" w:styleId="AsuntodelcomentarioCar">
    <w:name w:val="Asunto del comentario Car"/>
    <w:basedOn w:val="TextocomentarioCar"/>
    <w:link w:val="Asuntodelcomentario"/>
    <w:uiPriority w:val="99"/>
    <w:semiHidden/>
    <w:rsid w:val="00C91E49"/>
    <w:rPr>
      <w:b/>
      <w:bCs/>
      <w:sz w:val="20"/>
      <w:szCs w:val="20"/>
    </w:rPr>
  </w:style>
  <w:style w:type="paragraph" w:styleId="Textodeglobo">
    <w:name w:val="Balloon Text"/>
    <w:basedOn w:val="Normal"/>
    <w:link w:val="TextodegloboCar"/>
    <w:uiPriority w:val="99"/>
    <w:semiHidden/>
    <w:unhideWhenUsed/>
    <w:rsid w:val="00C91E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E49"/>
    <w:rPr>
      <w:rFonts w:ascii="Tahoma" w:hAnsi="Tahoma" w:cs="Tahoma"/>
      <w:sz w:val="16"/>
      <w:szCs w:val="16"/>
    </w:rPr>
  </w:style>
  <w:style w:type="paragraph" w:styleId="Prrafodelista">
    <w:name w:val="List Paragraph"/>
    <w:basedOn w:val="Normal"/>
    <w:uiPriority w:val="34"/>
    <w:qFormat/>
    <w:rsid w:val="00E2177B"/>
    <w:pPr>
      <w:ind w:left="720"/>
      <w:contextualSpacing/>
    </w:pPr>
  </w:style>
  <w:style w:type="paragraph" w:customStyle="1" w:styleId="Estilo1">
    <w:name w:val="Estilo1"/>
    <w:basedOn w:val="Textoindependiente"/>
    <w:rsid w:val="006061BC"/>
    <w:pPr>
      <w:overflowPunct w:val="0"/>
      <w:autoSpaceDE w:val="0"/>
      <w:autoSpaceDN w:val="0"/>
      <w:adjustRightInd w:val="0"/>
      <w:spacing w:line="240" w:lineRule="auto"/>
      <w:jc w:val="both"/>
      <w:textAlignment w:val="baseline"/>
    </w:pPr>
    <w:rPr>
      <w:rFonts w:ascii="Arial" w:eastAsia="Times New Roman" w:hAnsi="Arial" w:cs="Times New Roman"/>
      <w:noProof/>
      <w:szCs w:val="20"/>
      <w:lang w:val="es-ES" w:eastAsia="es-ES"/>
    </w:rPr>
  </w:style>
  <w:style w:type="paragraph" w:customStyle="1" w:styleId="Sangra3detindependiente1">
    <w:name w:val="Sangría 3 de t. independiente1"/>
    <w:basedOn w:val="Normal"/>
    <w:rsid w:val="006061BC"/>
    <w:pPr>
      <w:overflowPunct w:val="0"/>
      <w:autoSpaceDE w:val="0"/>
      <w:autoSpaceDN w:val="0"/>
      <w:adjustRightInd w:val="0"/>
      <w:spacing w:after="0" w:line="240" w:lineRule="auto"/>
      <w:ind w:firstLine="1276"/>
      <w:jc w:val="both"/>
      <w:textAlignment w:val="baseline"/>
    </w:pPr>
    <w:rPr>
      <w:rFonts w:ascii="Arial" w:eastAsia="Times New Roman" w:hAnsi="Arial" w:cs="Times New Roman"/>
      <w:i/>
      <w:sz w:val="24"/>
      <w:szCs w:val="20"/>
      <w:lang w:eastAsia="es-ES"/>
    </w:rPr>
  </w:style>
  <w:style w:type="paragraph" w:styleId="Textoindependiente">
    <w:name w:val="Body Text"/>
    <w:basedOn w:val="Normal"/>
    <w:link w:val="TextoindependienteCar"/>
    <w:uiPriority w:val="99"/>
    <w:semiHidden/>
    <w:unhideWhenUsed/>
    <w:rsid w:val="006061BC"/>
    <w:pPr>
      <w:spacing w:after="120"/>
    </w:pPr>
  </w:style>
  <w:style w:type="character" w:customStyle="1" w:styleId="TextoindependienteCar">
    <w:name w:val="Texto independiente Car"/>
    <w:basedOn w:val="Fuentedeprrafopredeter"/>
    <w:link w:val="Textoindependiente"/>
    <w:uiPriority w:val="99"/>
    <w:semiHidden/>
    <w:rsid w:val="006061BC"/>
  </w:style>
  <w:style w:type="paragraph" w:styleId="Textonotapie">
    <w:name w:val="footnote text"/>
    <w:basedOn w:val="Normal"/>
    <w:link w:val="TextonotapieCar"/>
    <w:uiPriority w:val="99"/>
    <w:semiHidden/>
    <w:unhideWhenUsed/>
    <w:rsid w:val="005763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63C7"/>
    <w:rPr>
      <w:sz w:val="20"/>
      <w:szCs w:val="20"/>
    </w:rPr>
  </w:style>
  <w:style w:type="character" w:styleId="Refdenotaalpie">
    <w:name w:val="footnote reference"/>
    <w:semiHidden/>
    <w:rsid w:val="005763C7"/>
    <w:rPr>
      <w:vertAlign w:val="superscript"/>
    </w:rPr>
  </w:style>
  <w:style w:type="paragraph" w:styleId="Sangradetextonormal">
    <w:name w:val="Body Text Indent"/>
    <w:basedOn w:val="Normal"/>
    <w:link w:val="SangradetextonormalCar"/>
    <w:uiPriority w:val="99"/>
    <w:semiHidden/>
    <w:unhideWhenUsed/>
    <w:rsid w:val="0030553A"/>
    <w:pPr>
      <w:spacing w:after="120"/>
      <w:ind w:left="283"/>
    </w:pPr>
  </w:style>
  <w:style w:type="character" w:customStyle="1" w:styleId="SangradetextonormalCar">
    <w:name w:val="Sangría de texto normal Car"/>
    <w:basedOn w:val="Fuentedeprrafopredeter"/>
    <w:link w:val="Sangradetextonormal"/>
    <w:uiPriority w:val="99"/>
    <w:semiHidden/>
    <w:rsid w:val="00305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E28E3-AAF9-4898-A028-CE185DD6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2350</Words>
  <Characters>12926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Leñam Paris</dc:creator>
  <cp:lastModifiedBy>Jorge Alcaíno Vargas</cp:lastModifiedBy>
  <cp:revision>4</cp:revision>
  <dcterms:created xsi:type="dcterms:W3CDTF">2017-08-11T15:26:00Z</dcterms:created>
  <dcterms:modified xsi:type="dcterms:W3CDTF">2017-08-16T11:45:00Z</dcterms:modified>
</cp:coreProperties>
</file>