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D60FD" w14:textId="77777777"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4B4EBF8C" w14:textId="77777777" w:rsidR="00D24076" w:rsidRDefault="00B96561" w:rsidP="00311C4D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>MINUTA EXPLICATIVA DE LA PROPUESTA DE DECRETO SUPREMO</w:t>
      </w:r>
      <w:r>
        <w:rPr>
          <w:rFonts w:ascii="Verdana" w:hAnsi="Verdana"/>
          <w:b/>
          <w:bCs/>
          <w:lang w:val="es-ES_tradnl"/>
        </w:rPr>
        <w:t xml:space="preserve"> </w:t>
      </w:r>
      <w:r w:rsidR="00B36AC1">
        <w:rPr>
          <w:rFonts w:ascii="Verdana" w:hAnsi="Verdana"/>
          <w:b/>
          <w:bCs/>
          <w:lang w:val="es-ES_tradnl"/>
        </w:rPr>
        <w:t>QUE REGLAMENTA LA LEY N°</w:t>
      </w:r>
      <w:r>
        <w:rPr>
          <w:rFonts w:ascii="Verdana" w:hAnsi="Verdana"/>
          <w:b/>
          <w:bCs/>
          <w:lang w:val="es-ES_tradnl"/>
        </w:rPr>
        <w:t xml:space="preserve"> 20.016</w:t>
      </w:r>
      <w:r w:rsidR="00B36AC1">
        <w:rPr>
          <w:rFonts w:ascii="Verdana" w:hAnsi="Verdana"/>
          <w:b/>
          <w:bCs/>
          <w:lang w:val="es-ES_tradnl"/>
        </w:rPr>
        <w:t xml:space="preserve">, </w:t>
      </w:r>
      <w:r w:rsidR="00D63036">
        <w:rPr>
          <w:rFonts w:ascii="Verdana" w:hAnsi="Verdana"/>
          <w:b/>
          <w:bCs/>
          <w:lang w:val="es-ES_tradnl"/>
        </w:rPr>
        <w:t xml:space="preserve">RELATIVA A LA </w:t>
      </w:r>
      <w:r w:rsidR="00B36AC1">
        <w:rPr>
          <w:rFonts w:ascii="Verdana" w:hAnsi="Verdana"/>
          <w:b/>
          <w:bCs/>
          <w:lang w:val="es-ES_tradnl"/>
        </w:rPr>
        <w:t>CALIDAD DE LAS CONSTRUCCIONES</w:t>
      </w:r>
      <w:r w:rsidR="00D24076">
        <w:rPr>
          <w:rFonts w:ascii="Verdana" w:hAnsi="Verdana"/>
          <w:b/>
          <w:bCs/>
          <w:lang w:val="es-ES_tradnl"/>
        </w:rPr>
        <w:t xml:space="preserve"> </w:t>
      </w:r>
    </w:p>
    <w:p w14:paraId="27173E98" w14:textId="77777777"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>________________________________________________________</w:t>
      </w:r>
    </w:p>
    <w:p w14:paraId="41C913CD" w14:textId="77777777"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14:paraId="5A097D5B" w14:textId="77777777"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14:paraId="391AFCC0" w14:textId="77777777" w:rsidR="000E07AF" w:rsidRPr="00851EFC" w:rsidRDefault="004509E6" w:rsidP="00311C4D">
      <w:pPr>
        <w:numPr>
          <w:ilvl w:val="0"/>
          <w:numId w:val="2"/>
        </w:numPr>
        <w:spacing w:before="120" w:after="0"/>
        <w:ind w:hanging="1080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>IDENTIFICACIÓN</w:t>
      </w:r>
      <w:r w:rsidR="000E07AF" w:rsidRPr="00851EFC">
        <w:rPr>
          <w:rFonts w:ascii="Verdana" w:hAnsi="Verdana"/>
          <w:b/>
          <w:bCs/>
          <w:lang w:val="es-ES_tradnl"/>
        </w:rPr>
        <w:t xml:space="preserve"> DE LA PROPUESTA NORMATIVA.</w:t>
      </w:r>
    </w:p>
    <w:p w14:paraId="26F821E2" w14:textId="3EEFBC09" w:rsidR="003E0063" w:rsidRDefault="00CC4B60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Propuesta de </w:t>
      </w:r>
      <w:r w:rsidR="00964B13">
        <w:rPr>
          <w:rFonts w:ascii="Verdana" w:hAnsi="Verdana"/>
          <w:bCs/>
          <w:lang w:val="es-ES_tradnl"/>
        </w:rPr>
        <w:t>D</w:t>
      </w:r>
      <w:r>
        <w:rPr>
          <w:rFonts w:ascii="Verdana" w:hAnsi="Verdana"/>
          <w:bCs/>
          <w:lang w:val="es-ES_tradnl"/>
        </w:rPr>
        <w:t xml:space="preserve">ecreto </w:t>
      </w:r>
      <w:r w:rsidR="00964B13">
        <w:rPr>
          <w:rFonts w:ascii="Verdana" w:hAnsi="Verdana"/>
          <w:bCs/>
          <w:lang w:val="es-ES_tradnl"/>
        </w:rPr>
        <w:t>S</w:t>
      </w:r>
      <w:r>
        <w:rPr>
          <w:rFonts w:ascii="Verdana" w:hAnsi="Verdana"/>
          <w:bCs/>
          <w:lang w:val="es-ES_tradnl"/>
        </w:rPr>
        <w:t xml:space="preserve">upremo </w:t>
      </w:r>
      <w:r w:rsidR="00964B13">
        <w:rPr>
          <w:rFonts w:ascii="Verdana" w:hAnsi="Verdana"/>
          <w:bCs/>
          <w:lang w:val="es-ES_tradnl"/>
        </w:rPr>
        <w:t xml:space="preserve">que </w:t>
      </w:r>
      <w:r>
        <w:rPr>
          <w:rFonts w:ascii="Verdana" w:hAnsi="Verdana"/>
          <w:bCs/>
          <w:lang w:val="es-ES_tradnl"/>
        </w:rPr>
        <w:t>modifica</w:t>
      </w:r>
      <w:r w:rsidR="000E07AF" w:rsidRPr="00851EFC">
        <w:rPr>
          <w:rFonts w:ascii="Verdana" w:hAnsi="Verdana"/>
          <w:bCs/>
          <w:lang w:val="es-ES_tradnl"/>
        </w:rPr>
        <w:t xml:space="preserve"> la Ordenanza General de Urbanismo y Construcciones</w:t>
      </w:r>
      <w:r w:rsidR="001C0241">
        <w:rPr>
          <w:rFonts w:ascii="Verdana" w:hAnsi="Verdana"/>
          <w:bCs/>
          <w:lang w:val="es-ES_tradnl"/>
        </w:rPr>
        <w:t xml:space="preserve"> (OGUC)</w:t>
      </w:r>
      <w:r w:rsidR="000E07AF" w:rsidRPr="00851EFC">
        <w:rPr>
          <w:rFonts w:ascii="Verdana" w:hAnsi="Verdana"/>
          <w:bCs/>
          <w:lang w:val="es-ES_tradnl"/>
        </w:rPr>
        <w:t xml:space="preserve">, para </w:t>
      </w:r>
      <w:r w:rsidR="0005105B">
        <w:rPr>
          <w:rFonts w:ascii="Verdana" w:hAnsi="Verdana"/>
          <w:bCs/>
          <w:lang w:val="es-ES_tradnl"/>
        </w:rPr>
        <w:t>reglamentar</w:t>
      </w:r>
      <w:r w:rsidR="000E07AF" w:rsidRPr="00851EFC">
        <w:rPr>
          <w:rFonts w:ascii="Verdana" w:hAnsi="Verdana"/>
          <w:bCs/>
          <w:lang w:val="es-ES_tradnl"/>
        </w:rPr>
        <w:t xml:space="preserve"> la</w:t>
      </w:r>
      <w:r w:rsidR="00287493">
        <w:rPr>
          <w:rFonts w:ascii="Verdana" w:hAnsi="Verdana"/>
          <w:bCs/>
          <w:lang w:val="es-ES_tradnl"/>
        </w:rPr>
        <w:t>s disposiciones contenidas en la</w:t>
      </w:r>
      <w:r w:rsidR="000E07AF" w:rsidRPr="00851EFC">
        <w:rPr>
          <w:rFonts w:ascii="Verdana" w:hAnsi="Verdana"/>
          <w:bCs/>
          <w:lang w:val="es-ES_tradnl"/>
        </w:rPr>
        <w:t xml:space="preserve"> Ley N° 20.</w:t>
      </w:r>
      <w:r w:rsidR="006D773B">
        <w:rPr>
          <w:rFonts w:ascii="Verdana" w:hAnsi="Verdana"/>
          <w:bCs/>
          <w:lang w:val="es-ES_tradnl"/>
        </w:rPr>
        <w:t>016</w:t>
      </w:r>
      <w:r w:rsidR="00287493">
        <w:rPr>
          <w:rFonts w:ascii="Verdana" w:hAnsi="Verdana"/>
          <w:bCs/>
          <w:lang w:val="es-ES_tradnl"/>
        </w:rPr>
        <w:t xml:space="preserve">, publicada en el Diario Oficial el </w:t>
      </w:r>
      <w:r w:rsidR="006D773B">
        <w:rPr>
          <w:rFonts w:ascii="Verdana" w:hAnsi="Verdana"/>
          <w:bCs/>
          <w:lang w:val="es-ES_tradnl"/>
        </w:rPr>
        <w:t>27</w:t>
      </w:r>
      <w:r w:rsidR="008C266F">
        <w:rPr>
          <w:rFonts w:ascii="Verdana" w:hAnsi="Verdana"/>
          <w:bCs/>
          <w:lang w:val="es-ES_tradnl"/>
        </w:rPr>
        <w:t>.05.</w:t>
      </w:r>
      <w:r w:rsidR="006D773B">
        <w:rPr>
          <w:rFonts w:ascii="Verdana" w:hAnsi="Verdana"/>
          <w:bCs/>
          <w:lang w:val="es-ES_tradnl"/>
        </w:rPr>
        <w:t xml:space="preserve">05, </w:t>
      </w:r>
      <w:r w:rsidR="00D24076">
        <w:rPr>
          <w:rFonts w:ascii="Verdana" w:hAnsi="Verdana"/>
          <w:bCs/>
          <w:lang w:val="es-ES_tradnl"/>
        </w:rPr>
        <w:t>que modificó entre otros</w:t>
      </w:r>
      <w:r w:rsidR="0005105B">
        <w:rPr>
          <w:rFonts w:ascii="Verdana" w:hAnsi="Verdana"/>
          <w:bCs/>
          <w:lang w:val="es-ES_tradnl"/>
        </w:rPr>
        <w:t>,</w:t>
      </w:r>
      <w:r w:rsidR="00D24076">
        <w:rPr>
          <w:rFonts w:ascii="Verdana" w:hAnsi="Verdana"/>
          <w:bCs/>
          <w:lang w:val="es-ES_tradnl"/>
        </w:rPr>
        <w:t xml:space="preserve"> </w:t>
      </w:r>
      <w:r w:rsidR="00412FC7">
        <w:rPr>
          <w:rFonts w:ascii="Verdana" w:hAnsi="Verdana"/>
          <w:bCs/>
          <w:lang w:val="es-ES_tradnl"/>
        </w:rPr>
        <w:t xml:space="preserve">el </w:t>
      </w:r>
      <w:r w:rsidR="00D24076">
        <w:rPr>
          <w:rFonts w:ascii="Verdana" w:hAnsi="Verdana"/>
          <w:bCs/>
          <w:lang w:val="es-ES_tradnl"/>
        </w:rPr>
        <w:t>artículo 116 de la Ley General de Urbanismo y Construcciones</w:t>
      </w:r>
      <w:r w:rsidR="00C720E3">
        <w:rPr>
          <w:rFonts w:ascii="Verdana" w:hAnsi="Verdana"/>
          <w:bCs/>
          <w:lang w:val="es-ES_tradnl"/>
        </w:rPr>
        <w:t xml:space="preserve"> (LGUC)</w:t>
      </w:r>
      <w:r w:rsidR="003E0063">
        <w:rPr>
          <w:rFonts w:ascii="Verdana" w:hAnsi="Verdana"/>
          <w:bCs/>
          <w:lang w:val="es-ES_tradnl"/>
        </w:rPr>
        <w:t xml:space="preserve">, el que </w:t>
      </w:r>
      <w:r w:rsidR="0005105B">
        <w:rPr>
          <w:rFonts w:ascii="Verdana" w:hAnsi="Verdana"/>
          <w:bCs/>
          <w:lang w:val="es-ES_tradnl"/>
        </w:rPr>
        <w:t>d</w:t>
      </w:r>
      <w:r w:rsidR="00A74A7A">
        <w:rPr>
          <w:rFonts w:ascii="Verdana" w:hAnsi="Verdana"/>
          <w:bCs/>
          <w:lang w:val="es-ES_tradnl"/>
        </w:rPr>
        <w:t xml:space="preserve">eterminó </w:t>
      </w:r>
      <w:r w:rsidR="0005105B">
        <w:rPr>
          <w:rFonts w:ascii="Verdana" w:hAnsi="Verdana"/>
          <w:bCs/>
          <w:lang w:val="es-ES_tradnl"/>
        </w:rPr>
        <w:t>las normas urbanísticas</w:t>
      </w:r>
      <w:r w:rsidR="005679A9">
        <w:rPr>
          <w:rFonts w:ascii="Verdana" w:hAnsi="Verdana"/>
          <w:bCs/>
          <w:lang w:val="es-ES_tradnl"/>
        </w:rPr>
        <w:t xml:space="preserve"> para los efectos que el Director de Obras Municipales otorgue un permiso o autorización.</w:t>
      </w:r>
    </w:p>
    <w:p w14:paraId="6E2C051C" w14:textId="356AD703" w:rsidR="000E07AF" w:rsidRDefault="000E07AF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14:paraId="2429BA8F" w14:textId="77777777" w:rsidR="00432575" w:rsidRDefault="00432575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14:paraId="66444944" w14:textId="77777777" w:rsidR="000E07AF" w:rsidRPr="00851EFC" w:rsidRDefault="000E07AF" w:rsidP="00D63036">
      <w:pPr>
        <w:numPr>
          <w:ilvl w:val="0"/>
          <w:numId w:val="2"/>
        </w:numPr>
        <w:spacing w:before="120" w:after="0"/>
        <w:ind w:left="1134" w:hanging="1080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 xml:space="preserve">NECESIDAD QUE MOTIVA LA </w:t>
      </w:r>
      <w:r w:rsidR="004509E6" w:rsidRPr="00851EFC">
        <w:rPr>
          <w:rFonts w:ascii="Verdana" w:hAnsi="Verdana"/>
          <w:b/>
          <w:bCs/>
          <w:lang w:val="es-ES_tradnl"/>
        </w:rPr>
        <w:t>ELABORACIÓN</w:t>
      </w:r>
      <w:r w:rsidRPr="00851EFC">
        <w:rPr>
          <w:rFonts w:ascii="Verdana" w:hAnsi="Verdana"/>
          <w:b/>
          <w:bCs/>
          <w:lang w:val="es-ES_tradnl"/>
        </w:rPr>
        <w:t xml:space="preserve"> DE ESTA </w:t>
      </w:r>
      <w:r w:rsidR="004509E6" w:rsidRPr="00851EFC">
        <w:rPr>
          <w:rFonts w:ascii="Verdana" w:hAnsi="Verdana"/>
          <w:b/>
          <w:bCs/>
          <w:lang w:val="es-ES_tradnl"/>
        </w:rPr>
        <w:t>MODIFICACIÓN</w:t>
      </w:r>
      <w:r w:rsidRPr="00851EFC">
        <w:rPr>
          <w:rFonts w:ascii="Verdana" w:hAnsi="Verdana"/>
          <w:b/>
          <w:bCs/>
          <w:lang w:val="es-ES_tradnl"/>
        </w:rPr>
        <w:t xml:space="preserve"> DE LA OGUC.</w:t>
      </w:r>
    </w:p>
    <w:p w14:paraId="10105907" w14:textId="704C869E" w:rsidR="00660A52" w:rsidRDefault="00C720E3" w:rsidP="00D63036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D63036">
        <w:rPr>
          <w:rFonts w:ascii="Verdana" w:hAnsi="Verdana"/>
          <w:bCs/>
          <w:lang w:val="es-ES_tradnl"/>
        </w:rPr>
        <w:t>E</w:t>
      </w:r>
      <w:r w:rsidR="00D24076" w:rsidRPr="00D63036">
        <w:rPr>
          <w:rFonts w:ascii="Verdana" w:hAnsi="Verdana"/>
          <w:bCs/>
          <w:lang w:val="es-ES_tradnl"/>
        </w:rPr>
        <w:t>n el año 2005, mediante la Ley N° 20.016 se modificó la LGUC, esta ley vino a perfeccionar la Ley N° 19.472 de 1996, conocida como primera ley de calidad, la que se tituló “Modifica el DFL 458 de 1975 LGUC, estableciendo normas relativas a la calidad de la construcción”</w:t>
      </w:r>
      <w:r w:rsidR="00526E93">
        <w:rPr>
          <w:rFonts w:ascii="Verdana" w:hAnsi="Verdana"/>
          <w:bCs/>
          <w:lang w:val="es-ES_tradnl"/>
        </w:rPr>
        <w:t>. E</w:t>
      </w:r>
      <w:r w:rsidR="00B630B3">
        <w:rPr>
          <w:rFonts w:ascii="Verdana" w:hAnsi="Verdana"/>
          <w:bCs/>
          <w:lang w:val="es-ES_tradnl"/>
        </w:rPr>
        <w:t xml:space="preserve">n lo que interesa, </w:t>
      </w:r>
      <w:r w:rsidR="0085697B">
        <w:rPr>
          <w:rFonts w:ascii="Verdana" w:hAnsi="Verdana"/>
          <w:bCs/>
          <w:lang w:val="es-ES_tradnl"/>
        </w:rPr>
        <w:t xml:space="preserve">la Ley N° 20.016, </w:t>
      </w:r>
      <w:r w:rsidR="00B630B3">
        <w:rPr>
          <w:rFonts w:ascii="Verdana" w:hAnsi="Verdana"/>
          <w:bCs/>
          <w:lang w:val="es-ES_tradnl"/>
        </w:rPr>
        <w:t>estableció que el Director de Obras Municipales conceder</w:t>
      </w:r>
      <w:r w:rsidR="00BB5257">
        <w:rPr>
          <w:rFonts w:ascii="Verdana" w:hAnsi="Verdana"/>
          <w:bCs/>
          <w:lang w:val="es-ES_tradnl"/>
        </w:rPr>
        <w:t>á</w:t>
      </w:r>
      <w:r w:rsidR="00B630B3">
        <w:rPr>
          <w:rFonts w:ascii="Verdana" w:hAnsi="Verdana"/>
          <w:bCs/>
          <w:lang w:val="es-ES_tradnl"/>
        </w:rPr>
        <w:t xml:space="preserve"> los permisos y las recepciones definitivas, en tanto </w:t>
      </w:r>
      <w:r w:rsidR="00BB5257">
        <w:rPr>
          <w:rFonts w:ascii="Verdana" w:hAnsi="Verdana"/>
          <w:bCs/>
          <w:lang w:val="es-ES_tradnl"/>
        </w:rPr>
        <w:t xml:space="preserve">se </w:t>
      </w:r>
      <w:r w:rsidR="00B630B3">
        <w:rPr>
          <w:rFonts w:ascii="Verdana" w:hAnsi="Verdana"/>
          <w:bCs/>
          <w:lang w:val="es-ES_tradnl"/>
        </w:rPr>
        <w:t xml:space="preserve">cumpla con las Normas Urbanísticas, y para tal efecto </w:t>
      </w:r>
      <w:r w:rsidR="00BB5257">
        <w:rPr>
          <w:rFonts w:ascii="Verdana" w:hAnsi="Verdana"/>
          <w:bCs/>
          <w:lang w:val="es-ES_tradnl"/>
        </w:rPr>
        <w:t>determinó expresamente</w:t>
      </w:r>
      <w:r w:rsidR="00B630B3">
        <w:rPr>
          <w:rFonts w:ascii="Verdana" w:hAnsi="Verdana"/>
          <w:bCs/>
          <w:lang w:val="es-ES_tradnl"/>
        </w:rPr>
        <w:t xml:space="preserve"> -en el artículo 116- lo que se entenderá por tales normas</w:t>
      </w:r>
      <w:r w:rsidR="00660A52" w:rsidRPr="00D63036">
        <w:rPr>
          <w:rFonts w:ascii="Verdana" w:hAnsi="Verdana"/>
          <w:bCs/>
          <w:lang w:val="es-ES_tradnl"/>
        </w:rPr>
        <w:t>.</w:t>
      </w:r>
      <w:r w:rsidR="00B630B3">
        <w:rPr>
          <w:rFonts w:ascii="Verdana" w:hAnsi="Verdana"/>
          <w:bCs/>
          <w:lang w:val="es-ES_tradnl"/>
        </w:rPr>
        <w:t xml:space="preserve"> </w:t>
      </w:r>
    </w:p>
    <w:p w14:paraId="5E3409C7" w14:textId="77777777" w:rsidR="00B630B3" w:rsidRPr="00D63036" w:rsidRDefault="00B630B3" w:rsidP="00D63036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Posteriormente, la Ley N° 20.703, a pesar de ratificar el aludido ámbito de acción del Director de Obras Municipales, no modificó el contenido de las referidas Normas Urbanísticas.</w:t>
      </w:r>
    </w:p>
    <w:p w14:paraId="0D6805E4" w14:textId="14F4249F" w:rsidR="00660A52" w:rsidRPr="00D63036" w:rsidRDefault="00660A52" w:rsidP="00D63036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D63036">
        <w:rPr>
          <w:rFonts w:ascii="Verdana" w:hAnsi="Verdana"/>
          <w:bCs/>
          <w:lang w:val="es-ES_tradnl"/>
        </w:rPr>
        <w:t>Las disposiciones reglamenta</w:t>
      </w:r>
      <w:r w:rsidR="0005105B">
        <w:rPr>
          <w:rFonts w:ascii="Verdana" w:hAnsi="Verdana"/>
          <w:bCs/>
          <w:lang w:val="es-ES_tradnl"/>
        </w:rPr>
        <w:t xml:space="preserve">das actualmente </w:t>
      </w:r>
      <w:r w:rsidRPr="00D63036">
        <w:rPr>
          <w:rFonts w:ascii="Verdana" w:hAnsi="Verdana"/>
          <w:bCs/>
          <w:lang w:val="es-ES_tradnl"/>
        </w:rPr>
        <w:t>en la OGUC</w:t>
      </w:r>
      <w:r w:rsidR="0005105B">
        <w:rPr>
          <w:rFonts w:ascii="Verdana" w:hAnsi="Verdana"/>
          <w:bCs/>
          <w:lang w:val="es-ES_tradnl"/>
        </w:rPr>
        <w:t xml:space="preserve"> en materia de normas </w:t>
      </w:r>
      <w:r w:rsidR="00EB2568">
        <w:rPr>
          <w:rFonts w:ascii="Verdana" w:hAnsi="Verdana"/>
          <w:bCs/>
          <w:lang w:val="es-ES_tradnl"/>
        </w:rPr>
        <w:t>urbanísticas</w:t>
      </w:r>
      <w:r w:rsidRPr="00D63036">
        <w:rPr>
          <w:rFonts w:ascii="Verdana" w:hAnsi="Verdana"/>
          <w:bCs/>
          <w:lang w:val="es-ES_tradnl"/>
        </w:rPr>
        <w:t xml:space="preserve">, </w:t>
      </w:r>
      <w:r w:rsidR="00EB2568">
        <w:rPr>
          <w:rFonts w:ascii="Verdana" w:hAnsi="Verdana"/>
          <w:bCs/>
          <w:lang w:val="es-ES_tradnl"/>
        </w:rPr>
        <w:t xml:space="preserve">no se </w:t>
      </w:r>
      <w:r w:rsidR="0005105B">
        <w:rPr>
          <w:rFonts w:ascii="Verdana" w:hAnsi="Verdana"/>
          <w:bCs/>
          <w:lang w:val="es-ES_tradnl"/>
        </w:rPr>
        <w:t xml:space="preserve">corresponden </w:t>
      </w:r>
      <w:r w:rsidR="00EB2568">
        <w:rPr>
          <w:rFonts w:ascii="Verdana" w:hAnsi="Verdana"/>
          <w:bCs/>
          <w:lang w:val="es-ES_tradnl"/>
        </w:rPr>
        <w:t>estrictamente con</w:t>
      </w:r>
      <w:r w:rsidR="008603E4">
        <w:rPr>
          <w:rFonts w:ascii="Verdana" w:hAnsi="Verdana"/>
          <w:bCs/>
          <w:lang w:val="es-ES_tradnl"/>
        </w:rPr>
        <w:t xml:space="preserve"> lo </w:t>
      </w:r>
      <w:r w:rsidR="001F4293">
        <w:rPr>
          <w:rFonts w:ascii="Verdana" w:hAnsi="Verdana"/>
          <w:bCs/>
          <w:lang w:val="es-ES_tradnl"/>
        </w:rPr>
        <w:t xml:space="preserve">establecido por </w:t>
      </w:r>
      <w:r w:rsidR="00EB2568" w:rsidRPr="00D63036">
        <w:rPr>
          <w:rFonts w:ascii="Verdana" w:hAnsi="Verdana"/>
          <w:bCs/>
          <w:lang w:val="es-ES_tradnl"/>
        </w:rPr>
        <w:t>la Ley N° 20.016</w:t>
      </w:r>
      <w:r w:rsidRPr="00D63036">
        <w:rPr>
          <w:rFonts w:ascii="Verdana" w:hAnsi="Verdana"/>
          <w:bCs/>
          <w:lang w:val="es-ES_tradnl"/>
        </w:rPr>
        <w:t xml:space="preserve">, </w:t>
      </w:r>
      <w:r w:rsidR="00EB2568">
        <w:rPr>
          <w:rFonts w:ascii="Verdana" w:hAnsi="Verdana"/>
          <w:bCs/>
          <w:lang w:val="es-ES_tradnl"/>
        </w:rPr>
        <w:t>razón por la cual se hace</w:t>
      </w:r>
      <w:r w:rsidRPr="00D63036">
        <w:rPr>
          <w:rFonts w:ascii="Verdana" w:hAnsi="Verdana"/>
          <w:bCs/>
          <w:lang w:val="es-ES_tradnl"/>
        </w:rPr>
        <w:t xml:space="preserve"> imprescindible ajustar </w:t>
      </w:r>
      <w:r w:rsidR="001F4293">
        <w:rPr>
          <w:rFonts w:ascii="Verdana" w:hAnsi="Verdana"/>
          <w:bCs/>
          <w:lang w:val="es-ES_tradnl"/>
        </w:rPr>
        <w:t xml:space="preserve">la normativa </w:t>
      </w:r>
      <w:r w:rsidRPr="00D63036">
        <w:rPr>
          <w:rFonts w:ascii="Verdana" w:hAnsi="Verdana"/>
          <w:bCs/>
          <w:lang w:val="es-ES_tradnl"/>
        </w:rPr>
        <w:t>para lograr coherencia reglamentaria con los cuerpos legales vigentes.</w:t>
      </w:r>
    </w:p>
    <w:p w14:paraId="6AB6B333" w14:textId="754251AE" w:rsidR="00660A52" w:rsidRDefault="00C720E3" w:rsidP="00D63036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D63036">
        <w:rPr>
          <w:rFonts w:ascii="Verdana" w:hAnsi="Verdana"/>
          <w:bCs/>
          <w:lang w:val="es-ES_tradnl"/>
        </w:rPr>
        <w:t>En ese contexto</w:t>
      </w:r>
      <w:r w:rsidR="00B630B3">
        <w:rPr>
          <w:rFonts w:ascii="Verdana" w:hAnsi="Verdana"/>
          <w:bCs/>
          <w:lang w:val="es-ES_tradnl"/>
        </w:rPr>
        <w:t>,</w:t>
      </w:r>
      <w:r w:rsidR="00221877" w:rsidRPr="00D63036">
        <w:rPr>
          <w:rFonts w:ascii="Verdana" w:hAnsi="Verdana"/>
          <w:bCs/>
          <w:lang w:val="es-ES_tradnl"/>
        </w:rPr>
        <w:t xml:space="preserve"> la propuesta de decreto supremo que se analiza en este documento, reglamenta la Ley N° 20.016 del año 2005, en aquellas materias </w:t>
      </w:r>
      <w:r w:rsidRPr="00D63036">
        <w:rPr>
          <w:rFonts w:ascii="Verdana" w:hAnsi="Verdana"/>
          <w:bCs/>
          <w:lang w:val="es-ES_tradnl"/>
        </w:rPr>
        <w:t xml:space="preserve">que guardan relación con la aplicación de </w:t>
      </w:r>
      <w:r w:rsidR="00EB2568">
        <w:rPr>
          <w:rFonts w:ascii="Verdana" w:hAnsi="Verdana"/>
          <w:bCs/>
          <w:lang w:val="es-ES_tradnl"/>
        </w:rPr>
        <w:t>las normas urbanísticas contenidas en el</w:t>
      </w:r>
      <w:r w:rsidR="00EB2568" w:rsidRPr="00D63036">
        <w:rPr>
          <w:rFonts w:ascii="Verdana" w:hAnsi="Verdana"/>
          <w:bCs/>
          <w:lang w:val="es-ES_tradnl"/>
        </w:rPr>
        <w:t xml:space="preserve"> </w:t>
      </w:r>
      <w:r w:rsidRPr="00D63036">
        <w:rPr>
          <w:rFonts w:ascii="Verdana" w:hAnsi="Verdana"/>
          <w:bCs/>
          <w:lang w:val="es-ES_tradnl"/>
        </w:rPr>
        <w:t>artículo 116 de la LGUC</w:t>
      </w:r>
      <w:r w:rsidR="00C243A0">
        <w:rPr>
          <w:rFonts w:ascii="Verdana" w:hAnsi="Verdana"/>
          <w:bCs/>
          <w:lang w:val="es-ES_tradnl"/>
        </w:rPr>
        <w:t>, actual</w:t>
      </w:r>
      <w:r w:rsidR="00C243A0" w:rsidRPr="00C243A0">
        <w:rPr>
          <w:rFonts w:ascii="Verdana" w:hAnsi="Verdana"/>
          <w:bCs/>
          <w:lang w:val="es-ES_tradnl"/>
        </w:rPr>
        <w:t xml:space="preserve"> </w:t>
      </w:r>
      <w:r w:rsidR="00C243A0">
        <w:rPr>
          <w:rFonts w:ascii="Verdana" w:hAnsi="Verdana"/>
          <w:bCs/>
          <w:lang w:val="es-ES_tradnl"/>
        </w:rPr>
        <w:t>inciso séptimo</w:t>
      </w:r>
      <w:r w:rsidR="00221877" w:rsidRPr="00D63036">
        <w:rPr>
          <w:rFonts w:ascii="Verdana" w:hAnsi="Verdana"/>
          <w:bCs/>
          <w:lang w:val="es-ES_tradnl"/>
        </w:rPr>
        <w:t>.</w:t>
      </w:r>
    </w:p>
    <w:p w14:paraId="3630496E" w14:textId="6802D075" w:rsidR="00CF31AC" w:rsidRPr="00964B13" w:rsidRDefault="00EB2568" w:rsidP="00C407BD">
      <w:pPr>
        <w:spacing w:before="120" w:after="0"/>
        <w:jc w:val="both"/>
        <w:rPr>
          <w:rFonts w:ascii="Verdana" w:hAnsi="Verdana"/>
          <w:bCs/>
          <w:lang w:val="es-CL"/>
        </w:rPr>
      </w:pPr>
      <w:r>
        <w:rPr>
          <w:rFonts w:ascii="Verdana" w:hAnsi="Verdana"/>
          <w:bCs/>
          <w:lang w:val="es-ES_tradnl"/>
        </w:rPr>
        <w:t>El resto de las normas de urbanismo y construcci</w:t>
      </w:r>
      <w:r w:rsidR="00CA39A6">
        <w:rPr>
          <w:rFonts w:ascii="Verdana" w:hAnsi="Verdana"/>
          <w:bCs/>
          <w:lang w:val="es-ES_tradnl"/>
        </w:rPr>
        <w:t>ón</w:t>
      </w:r>
      <w:r>
        <w:rPr>
          <w:rFonts w:ascii="Verdana" w:hAnsi="Verdana"/>
          <w:bCs/>
          <w:lang w:val="es-ES_tradnl"/>
        </w:rPr>
        <w:t xml:space="preserve"> abordadas por las leyes 20.016 y</w:t>
      </w:r>
      <w:r w:rsidR="00103598">
        <w:rPr>
          <w:rFonts w:ascii="Verdana" w:hAnsi="Verdana"/>
          <w:bCs/>
          <w:lang w:val="es-ES_tradnl"/>
        </w:rPr>
        <w:t xml:space="preserve"> </w:t>
      </w:r>
      <w:r w:rsidR="00964B13">
        <w:rPr>
          <w:rFonts w:ascii="Verdana" w:hAnsi="Verdana"/>
          <w:bCs/>
          <w:lang w:val="es-ES_tradnl"/>
        </w:rPr>
        <w:t>20.703</w:t>
      </w:r>
      <w:r w:rsidR="00C407BD">
        <w:rPr>
          <w:rFonts w:ascii="Verdana" w:hAnsi="Verdana"/>
          <w:bCs/>
          <w:lang w:val="es-ES_tradnl"/>
        </w:rPr>
        <w:t xml:space="preserve"> </w:t>
      </w:r>
      <w:r>
        <w:rPr>
          <w:rFonts w:ascii="Verdana" w:hAnsi="Verdana"/>
          <w:bCs/>
          <w:lang w:val="es-ES_tradnl"/>
        </w:rPr>
        <w:t>(</w:t>
      </w:r>
      <w:r w:rsidR="00B630B3">
        <w:rPr>
          <w:rFonts w:ascii="Verdana" w:hAnsi="Verdana"/>
          <w:bCs/>
          <w:lang w:val="es-ES_tradnl"/>
        </w:rPr>
        <w:t xml:space="preserve">segunda y </w:t>
      </w:r>
      <w:r w:rsidR="00C407BD">
        <w:rPr>
          <w:rFonts w:ascii="Verdana" w:hAnsi="Verdana"/>
          <w:bCs/>
          <w:lang w:val="es-ES_tradnl"/>
        </w:rPr>
        <w:t>tercera ley de calidad</w:t>
      </w:r>
      <w:r>
        <w:rPr>
          <w:rFonts w:ascii="Verdana" w:hAnsi="Verdana"/>
          <w:bCs/>
          <w:lang w:val="es-ES_tradnl"/>
        </w:rPr>
        <w:t>)</w:t>
      </w:r>
      <w:r w:rsidR="00964B13">
        <w:rPr>
          <w:rFonts w:ascii="Verdana" w:hAnsi="Verdana"/>
          <w:bCs/>
          <w:lang w:val="es-ES_tradnl"/>
        </w:rPr>
        <w:t xml:space="preserve"> </w:t>
      </w:r>
      <w:r w:rsidR="00B630B3">
        <w:rPr>
          <w:rFonts w:ascii="Verdana" w:hAnsi="Verdana"/>
          <w:bCs/>
          <w:lang w:val="es-ES_tradnl"/>
        </w:rPr>
        <w:t>se está</w:t>
      </w:r>
      <w:r w:rsidR="0063054B">
        <w:rPr>
          <w:rFonts w:ascii="Verdana" w:hAnsi="Verdana"/>
          <w:bCs/>
          <w:lang w:val="es-ES_tradnl"/>
        </w:rPr>
        <w:t>n</w:t>
      </w:r>
      <w:r>
        <w:rPr>
          <w:rFonts w:ascii="Verdana" w:hAnsi="Verdana"/>
          <w:bCs/>
          <w:lang w:val="es-ES_tradnl"/>
        </w:rPr>
        <w:t xml:space="preserve"> </w:t>
      </w:r>
      <w:r w:rsidR="0063054B">
        <w:rPr>
          <w:rFonts w:ascii="Verdana" w:hAnsi="Verdana"/>
          <w:bCs/>
          <w:lang w:val="es-ES_tradnl"/>
        </w:rPr>
        <w:t xml:space="preserve">tratando </w:t>
      </w:r>
      <w:r>
        <w:rPr>
          <w:rFonts w:ascii="Verdana" w:hAnsi="Verdana"/>
          <w:bCs/>
          <w:lang w:val="es-ES_tradnl"/>
        </w:rPr>
        <w:t xml:space="preserve">paralelamente en otra modificación a la </w:t>
      </w:r>
      <w:r w:rsidR="00B630B3">
        <w:rPr>
          <w:rFonts w:ascii="Verdana" w:hAnsi="Verdana"/>
          <w:bCs/>
          <w:lang w:val="es-ES_tradnl"/>
        </w:rPr>
        <w:t>Ordenanza General</w:t>
      </w:r>
      <w:r>
        <w:rPr>
          <w:rFonts w:ascii="Verdana" w:hAnsi="Verdana"/>
          <w:bCs/>
          <w:lang w:val="es-ES_tradnl"/>
        </w:rPr>
        <w:t>, en un decreto que se ha denominado “Modificación OGUC en materia de Calidad de la Construcción”</w:t>
      </w:r>
      <w:r w:rsidR="00B630B3">
        <w:rPr>
          <w:rFonts w:ascii="Verdana" w:hAnsi="Verdana"/>
          <w:bCs/>
          <w:lang w:val="es-ES_tradnl"/>
        </w:rPr>
        <w:t xml:space="preserve">, cuya consulta </w:t>
      </w:r>
      <w:r w:rsidR="0063054B">
        <w:rPr>
          <w:rFonts w:ascii="Verdana" w:hAnsi="Verdana"/>
          <w:bCs/>
          <w:lang w:val="es-ES_tradnl"/>
        </w:rPr>
        <w:t>ciudadana</w:t>
      </w:r>
      <w:r w:rsidR="00B630B3">
        <w:rPr>
          <w:rFonts w:ascii="Verdana" w:hAnsi="Verdana"/>
          <w:bCs/>
          <w:lang w:val="es-ES_tradnl"/>
        </w:rPr>
        <w:t xml:space="preserve"> concluyó e</w:t>
      </w:r>
      <w:r w:rsidR="00CA39A6">
        <w:rPr>
          <w:rFonts w:ascii="Verdana" w:hAnsi="Verdana"/>
          <w:bCs/>
          <w:lang w:val="es-ES_tradnl"/>
        </w:rPr>
        <w:t>l 14 de</w:t>
      </w:r>
      <w:r w:rsidR="00B630B3">
        <w:rPr>
          <w:rFonts w:ascii="Verdana" w:hAnsi="Verdana"/>
          <w:bCs/>
          <w:lang w:val="es-ES_tradnl"/>
        </w:rPr>
        <w:t xml:space="preserve"> julio de 2017</w:t>
      </w:r>
      <w:r w:rsidR="00C407BD">
        <w:rPr>
          <w:rFonts w:ascii="Verdana" w:hAnsi="Verdana"/>
          <w:bCs/>
          <w:lang w:val="es-CL"/>
        </w:rPr>
        <w:t>.</w:t>
      </w:r>
    </w:p>
    <w:p w14:paraId="757DE2BD" w14:textId="77777777" w:rsidR="00ED1FC9" w:rsidRPr="00C407BD" w:rsidRDefault="00ED1FC9" w:rsidP="00311C4D">
      <w:pPr>
        <w:spacing w:before="120" w:after="0"/>
        <w:jc w:val="both"/>
        <w:rPr>
          <w:rFonts w:ascii="Verdana" w:hAnsi="Verdana"/>
          <w:bCs/>
          <w:lang w:val="es-CL"/>
        </w:rPr>
      </w:pPr>
    </w:p>
    <w:p w14:paraId="79706E6F" w14:textId="77777777" w:rsidR="000E07AF" w:rsidRPr="00851EFC" w:rsidRDefault="000E07AF" w:rsidP="00905914">
      <w:pPr>
        <w:numPr>
          <w:ilvl w:val="0"/>
          <w:numId w:val="2"/>
        </w:numPr>
        <w:spacing w:before="120" w:after="0"/>
        <w:ind w:hanging="1080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lastRenderedPageBreak/>
        <w:t>OBJETIVO DEL DECRETO SUPREMO</w:t>
      </w:r>
      <w:r w:rsidR="00D96901">
        <w:rPr>
          <w:rFonts w:ascii="Verdana" w:hAnsi="Verdana"/>
          <w:b/>
          <w:bCs/>
          <w:lang w:val="es-ES_tradnl"/>
        </w:rPr>
        <w:t>.</w:t>
      </w:r>
    </w:p>
    <w:p w14:paraId="4522DF2C" w14:textId="373C6FEA" w:rsidR="00F43116" w:rsidRDefault="00F43116" w:rsidP="00D60264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El objetivo principal</w:t>
      </w:r>
      <w:r w:rsidR="00EC3ACB">
        <w:rPr>
          <w:rFonts w:ascii="Verdana" w:hAnsi="Verdana"/>
          <w:bCs/>
          <w:lang w:val="es-ES_tradnl"/>
        </w:rPr>
        <w:t xml:space="preserve"> de la presente propuesta</w:t>
      </w:r>
      <w:r w:rsidR="00B630B3">
        <w:rPr>
          <w:rFonts w:ascii="Verdana" w:hAnsi="Verdana"/>
          <w:bCs/>
          <w:lang w:val="es-ES_tradnl"/>
        </w:rPr>
        <w:t>,</w:t>
      </w:r>
      <w:r>
        <w:rPr>
          <w:rFonts w:ascii="Verdana" w:hAnsi="Verdana"/>
          <w:bCs/>
          <w:lang w:val="es-ES_tradnl"/>
        </w:rPr>
        <w:t xml:space="preserve"> es </w:t>
      </w:r>
      <w:r w:rsidR="00EB2568">
        <w:rPr>
          <w:rFonts w:ascii="Verdana" w:hAnsi="Verdana"/>
          <w:bCs/>
          <w:lang w:val="es-ES_tradnl"/>
        </w:rPr>
        <w:t xml:space="preserve">adecuar </w:t>
      </w:r>
      <w:r>
        <w:rPr>
          <w:rFonts w:ascii="Verdana" w:hAnsi="Verdana"/>
          <w:bCs/>
          <w:lang w:val="es-ES_tradnl"/>
        </w:rPr>
        <w:t xml:space="preserve">la </w:t>
      </w:r>
      <w:r w:rsidR="00A16A1F">
        <w:rPr>
          <w:rFonts w:ascii="Verdana" w:hAnsi="Verdana"/>
          <w:bCs/>
          <w:lang w:val="es-ES_tradnl"/>
        </w:rPr>
        <w:t xml:space="preserve">reglamentación </w:t>
      </w:r>
      <w:r>
        <w:rPr>
          <w:rFonts w:ascii="Verdana" w:hAnsi="Verdana"/>
          <w:bCs/>
          <w:lang w:val="es-ES_tradnl"/>
        </w:rPr>
        <w:t xml:space="preserve">vinculada con las normas urbanísticas definidas en </w:t>
      </w:r>
      <w:r w:rsidR="00EB2568">
        <w:rPr>
          <w:rFonts w:ascii="Verdana" w:hAnsi="Verdana"/>
          <w:bCs/>
          <w:lang w:val="es-ES_tradnl"/>
        </w:rPr>
        <w:t xml:space="preserve">el </w:t>
      </w:r>
      <w:r w:rsidR="0004450F">
        <w:rPr>
          <w:rFonts w:ascii="Verdana" w:hAnsi="Verdana"/>
          <w:bCs/>
          <w:lang w:val="es-ES_tradnl"/>
        </w:rPr>
        <w:t xml:space="preserve">inciso séptimo del </w:t>
      </w:r>
      <w:r>
        <w:rPr>
          <w:rFonts w:ascii="Verdana" w:hAnsi="Verdana"/>
          <w:bCs/>
          <w:lang w:val="es-ES_tradnl"/>
        </w:rPr>
        <w:t xml:space="preserve">artículo 116 de la LGUC, modificado por la Ley N° 20.016, </w:t>
      </w:r>
      <w:r w:rsidR="0004450F">
        <w:rPr>
          <w:rFonts w:ascii="Verdana" w:hAnsi="Verdana"/>
          <w:bCs/>
          <w:lang w:val="es-ES_tradnl"/>
        </w:rPr>
        <w:t xml:space="preserve">incorporando </w:t>
      </w:r>
      <w:r w:rsidR="00C243A0">
        <w:rPr>
          <w:rFonts w:ascii="Verdana" w:hAnsi="Verdana"/>
          <w:bCs/>
          <w:lang w:val="es-ES_tradnl"/>
        </w:rPr>
        <w:t xml:space="preserve">además para </w:t>
      </w:r>
      <w:r w:rsidR="002D6C43">
        <w:rPr>
          <w:rFonts w:ascii="Verdana" w:hAnsi="Verdana"/>
          <w:bCs/>
          <w:lang w:val="es-ES_tradnl"/>
        </w:rPr>
        <w:t xml:space="preserve">tal </w:t>
      </w:r>
      <w:r w:rsidR="00C243A0">
        <w:rPr>
          <w:rFonts w:ascii="Verdana" w:hAnsi="Verdana"/>
          <w:bCs/>
          <w:lang w:val="es-ES_tradnl"/>
        </w:rPr>
        <w:t xml:space="preserve">efecto, </w:t>
      </w:r>
      <w:r w:rsidR="002D6C43">
        <w:rPr>
          <w:rFonts w:ascii="Verdana" w:hAnsi="Verdana"/>
          <w:bCs/>
          <w:lang w:val="es-ES_tradnl"/>
        </w:rPr>
        <w:t>los criterios</w:t>
      </w:r>
      <w:r w:rsidR="0004450F">
        <w:rPr>
          <w:rFonts w:ascii="Verdana" w:hAnsi="Verdana"/>
          <w:bCs/>
          <w:lang w:val="es-ES_tradnl"/>
        </w:rPr>
        <w:t xml:space="preserve"> obtenid</w:t>
      </w:r>
      <w:r w:rsidR="002D6C43">
        <w:rPr>
          <w:rFonts w:ascii="Verdana" w:hAnsi="Verdana"/>
          <w:bCs/>
          <w:lang w:val="es-ES_tradnl"/>
        </w:rPr>
        <w:t>o</w:t>
      </w:r>
      <w:r w:rsidR="0004450F">
        <w:rPr>
          <w:rFonts w:ascii="Verdana" w:hAnsi="Verdana"/>
          <w:bCs/>
          <w:lang w:val="es-ES_tradnl"/>
        </w:rPr>
        <w:t xml:space="preserve">s </w:t>
      </w:r>
      <w:r w:rsidR="002D6C43">
        <w:rPr>
          <w:rFonts w:ascii="Verdana" w:hAnsi="Verdana"/>
          <w:bCs/>
          <w:lang w:val="es-ES_tradnl"/>
        </w:rPr>
        <w:t xml:space="preserve">tanto de </w:t>
      </w:r>
      <w:r w:rsidR="0004450F">
        <w:rPr>
          <w:rFonts w:ascii="Verdana" w:hAnsi="Verdana"/>
          <w:bCs/>
          <w:lang w:val="es-ES_tradnl"/>
        </w:rPr>
        <w:t>la revisión de diversos Instrumentos de Planificación Territorial</w:t>
      </w:r>
      <w:r w:rsidR="00C243A0">
        <w:rPr>
          <w:rFonts w:ascii="Verdana" w:hAnsi="Verdana"/>
          <w:bCs/>
          <w:lang w:val="es-ES_tradnl"/>
        </w:rPr>
        <w:t xml:space="preserve"> </w:t>
      </w:r>
      <w:r w:rsidR="0027787C">
        <w:rPr>
          <w:rFonts w:ascii="Verdana" w:hAnsi="Verdana"/>
          <w:bCs/>
          <w:lang w:val="es-ES_tradnl"/>
        </w:rPr>
        <w:t xml:space="preserve">(IPT) </w:t>
      </w:r>
      <w:r w:rsidR="00C243A0">
        <w:rPr>
          <w:rFonts w:ascii="Verdana" w:hAnsi="Verdana"/>
          <w:bCs/>
          <w:lang w:val="es-ES_tradnl"/>
        </w:rPr>
        <w:t>en sus diferentes niveles</w:t>
      </w:r>
      <w:r w:rsidR="002D6C43">
        <w:rPr>
          <w:rFonts w:ascii="Verdana" w:hAnsi="Verdana"/>
          <w:bCs/>
          <w:lang w:val="es-ES_tradnl"/>
        </w:rPr>
        <w:t xml:space="preserve"> de planificación</w:t>
      </w:r>
      <w:r w:rsidR="0004450F">
        <w:rPr>
          <w:rFonts w:ascii="Verdana" w:hAnsi="Verdana"/>
          <w:bCs/>
          <w:lang w:val="es-ES_tradnl"/>
        </w:rPr>
        <w:t xml:space="preserve">, </w:t>
      </w:r>
      <w:r w:rsidR="002D6C43">
        <w:rPr>
          <w:rFonts w:ascii="Verdana" w:hAnsi="Verdana"/>
          <w:bCs/>
          <w:lang w:val="es-ES_tradnl"/>
        </w:rPr>
        <w:t xml:space="preserve">como de la </w:t>
      </w:r>
      <w:r w:rsidR="0004450F">
        <w:rPr>
          <w:rFonts w:ascii="Verdana" w:hAnsi="Verdana"/>
          <w:bCs/>
          <w:lang w:val="es-ES_tradnl"/>
        </w:rPr>
        <w:t>jurisprudencia administrativa contenida en los dictámenes de la Contraloría General de la República al momento del control de juridicidad de los mismos</w:t>
      </w:r>
      <w:r w:rsidR="00D60264">
        <w:rPr>
          <w:rFonts w:ascii="Verdana" w:hAnsi="Verdana"/>
          <w:bCs/>
          <w:lang w:val="es-ES_tradnl"/>
        </w:rPr>
        <w:t>.</w:t>
      </w:r>
    </w:p>
    <w:p w14:paraId="65D8780B" w14:textId="14F208E9" w:rsidR="00524D59" w:rsidRDefault="00C243A0" w:rsidP="00D60264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En dicho contexto, la modificación pretende</w:t>
      </w:r>
      <w:r w:rsidR="00D7023C">
        <w:rPr>
          <w:rFonts w:ascii="Verdana" w:hAnsi="Verdana"/>
          <w:bCs/>
          <w:lang w:val="es-ES_tradnl"/>
        </w:rPr>
        <w:t xml:space="preserve">, </w:t>
      </w:r>
      <w:r>
        <w:rPr>
          <w:rFonts w:ascii="Verdana" w:hAnsi="Verdana"/>
          <w:bCs/>
          <w:lang w:val="es-ES_tradnl"/>
        </w:rPr>
        <w:t>por una parte</w:t>
      </w:r>
      <w:r w:rsidR="00D7023C">
        <w:rPr>
          <w:rFonts w:ascii="Verdana" w:hAnsi="Verdana"/>
          <w:bCs/>
          <w:lang w:val="es-ES_tradnl"/>
        </w:rPr>
        <w:t xml:space="preserve">, </w:t>
      </w:r>
      <w:r>
        <w:rPr>
          <w:rFonts w:ascii="Verdana" w:hAnsi="Verdana"/>
          <w:bCs/>
          <w:lang w:val="es-ES_tradnl"/>
        </w:rPr>
        <w:t xml:space="preserve">precisar el tratamiento que deben observar los </w:t>
      </w:r>
      <w:r w:rsidR="00B771B6">
        <w:rPr>
          <w:rFonts w:ascii="Verdana" w:hAnsi="Verdana"/>
          <w:bCs/>
          <w:lang w:val="es-ES_tradnl"/>
        </w:rPr>
        <w:t>IPT</w:t>
      </w:r>
      <w:r>
        <w:rPr>
          <w:rFonts w:ascii="Verdana" w:hAnsi="Verdana"/>
          <w:bCs/>
          <w:lang w:val="es-ES_tradnl"/>
        </w:rPr>
        <w:t xml:space="preserve"> al momento de establecer las normas urbanísticas, y al mismo tiempo</w:t>
      </w:r>
      <w:r w:rsidR="00D7023C">
        <w:rPr>
          <w:rFonts w:ascii="Verdana" w:hAnsi="Verdana"/>
          <w:bCs/>
          <w:lang w:val="es-ES_tradnl"/>
        </w:rPr>
        <w:t xml:space="preserve">, </w:t>
      </w:r>
      <w:r>
        <w:rPr>
          <w:rFonts w:ascii="Verdana" w:hAnsi="Verdana"/>
          <w:bCs/>
          <w:lang w:val="es-ES_tradnl"/>
        </w:rPr>
        <w:t>dotar de mayor</w:t>
      </w:r>
      <w:r w:rsidR="00B771B6">
        <w:rPr>
          <w:rFonts w:ascii="Verdana" w:hAnsi="Verdana"/>
          <w:bCs/>
          <w:lang w:val="es-ES_tradnl"/>
        </w:rPr>
        <w:t xml:space="preserve"> flexibilidad a</w:t>
      </w:r>
      <w:r>
        <w:rPr>
          <w:rFonts w:ascii="Verdana" w:hAnsi="Verdana"/>
          <w:bCs/>
          <w:lang w:val="es-ES_tradnl"/>
        </w:rPr>
        <w:t xml:space="preserve"> dicho tratamiento, de modo de que los IPT</w:t>
      </w:r>
      <w:r w:rsidR="0027787C">
        <w:rPr>
          <w:rFonts w:ascii="Verdana" w:hAnsi="Verdana"/>
          <w:bCs/>
          <w:lang w:val="es-ES_tradnl"/>
        </w:rPr>
        <w:t xml:space="preserve"> dispongan de herramientas </w:t>
      </w:r>
      <w:r w:rsidR="007C14F6">
        <w:rPr>
          <w:rFonts w:ascii="Verdana" w:hAnsi="Verdana"/>
          <w:bCs/>
          <w:lang w:val="es-ES_tradnl"/>
        </w:rPr>
        <w:t xml:space="preserve">adecuadas </w:t>
      </w:r>
      <w:r w:rsidR="0027787C">
        <w:rPr>
          <w:rFonts w:ascii="Verdana" w:hAnsi="Verdana"/>
          <w:bCs/>
          <w:lang w:val="es-ES_tradnl"/>
        </w:rPr>
        <w:t xml:space="preserve">para el desarrollo de </w:t>
      </w:r>
      <w:r w:rsidR="007C14F6">
        <w:rPr>
          <w:rFonts w:ascii="Verdana" w:hAnsi="Verdana"/>
          <w:bCs/>
          <w:lang w:val="es-ES_tradnl"/>
        </w:rPr>
        <w:t>sus</w:t>
      </w:r>
      <w:r w:rsidR="0027787C">
        <w:rPr>
          <w:rFonts w:ascii="Verdana" w:hAnsi="Verdana"/>
          <w:bCs/>
          <w:lang w:val="es-ES_tradnl"/>
        </w:rPr>
        <w:t xml:space="preserve"> centros </w:t>
      </w:r>
      <w:r w:rsidR="007C14F6">
        <w:rPr>
          <w:rFonts w:ascii="Verdana" w:hAnsi="Verdana"/>
          <w:bCs/>
          <w:lang w:val="es-ES_tradnl"/>
        </w:rPr>
        <w:t>urbanos.</w:t>
      </w:r>
    </w:p>
    <w:p w14:paraId="3C822EC4" w14:textId="244C8A65" w:rsidR="0027787C" w:rsidRDefault="0027787C" w:rsidP="00D60264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Adicionalmente, la propuesta pretende mejorar la articulación entre los niveles de planificación comunal e intercomunal o metropolitano, de modo que</w:t>
      </w:r>
      <w:r w:rsidR="00006A2E">
        <w:rPr>
          <w:rFonts w:ascii="Verdana" w:hAnsi="Verdana"/>
          <w:bCs/>
          <w:lang w:val="es-ES_tradnl"/>
        </w:rPr>
        <w:t xml:space="preserve"> se relacionen e </w:t>
      </w:r>
      <w:r>
        <w:rPr>
          <w:rFonts w:ascii="Verdana" w:hAnsi="Verdana"/>
          <w:bCs/>
          <w:lang w:val="es-ES_tradnl"/>
        </w:rPr>
        <w:t>integren armónicamente.</w:t>
      </w:r>
    </w:p>
    <w:p w14:paraId="2A66D471" w14:textId="77777777" w:rsidR="000E07AF" w:rsidRPr="00F14657" w:rsidRDefault="000E07AF" w:rsidP="00311C4D">
      <w:pPr>
        <w:spacing w:before="120" w:after="0"/>
        <w:jc w:val="both"/>
        <w:rPr>
          <w:rFonts w:ascii="Verdana" w:hAnsi="Verdana"/>
          <w:bCs/>
          <w:highlight w:val="yellow"/>
          <w:lang w:val="es-ES_tradnl"/>
        </w:rPr>
      </w:pPr>
    </w:p>
    <w:p w14:paraId="45F0C0D4" w14:textId="77777777" w:rsidR="000E07AF" w:rsidRPr="00C70583" w:rsidRDefault="00347D9A" w:rsidP="00D63036">
      <w:pPr>
        <w:numPr>
          <w:ilvl w:val="0"/>
          <w:numId w:val="2"/>
        </w:numPr>
        <w:spacing w:before="120" w:after="0"/>
        <w:ind w:hanging="1080"/>
        <w:jc w:val="both"/>
        <w:rPr>
          <w:rFonts w:ascii="Verdana" w:hAnsi="Verdana"/>
          <w:b/>
          <w:bCs/>
          <w:lang w:val="es-ES_tradnl"/>
        </w:rPr>
      </w:pPr>
      <w:r w:rsidRPr="00C70583">
        <w:rPr>
          <w:rFonts w:ascii="Verdana" w:hAnsi="Verdana"/>
          <w:b/>
          <w:bCs/>
          <w:lang w:val="es-ES_tradnl"/>
        </w:rPr>
        <w:t>DESCRIPCIÓN</w:t>
      </w:r>
      <w:r w:rsidR="000E07AF" w:rsidRPr="00C70583">
        <w:rPr>
          <w:rFonts w:ascii="Verdana" w:hAnsi="Verdana"/>
          <w:b/>
          <w:bCs/>
          <w:lang w:val="es-ES_tradnl"/>
        </w:rPr>
        <w:t xml:space="preserve"> DE LA PROPUESTA</w:t>
      </w:r>
    </w:p>
    <w:p w14:paraId="7EFD277D" w14:textId="5189C95F" w:rsidR="005B46F6" w:rsidRDefault="000E07AF" w:rsidP="005B46F6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C70583">
        <w:rPr>
          <w:rFonts w:ascii="Verdana" w:hAnsi="Verdana"/>
          <w:bCs/>
          <w:lang w:val="es-ES_tradnl"/>
        </w:rPr>
        <w:t xml:space="preserve">La modificación de la </w:t>
      </w:r>
      <w:r w:rsidR="00C407BD">
        <w:rPr>
          <w:rFonts w:ascii="Verdana" w:hAnsi="Verdana"/>
          <w:bCs/>
          <w:lang w:val="es-ES_tradnl"/>
        </w:rPr>
        <w:t>OGUC</w:t>
      </w:r>
      <w:r w:rsidR="00221877">
        <w:rPr>
          <w:rFonts w:ascii="Verdana" w:hAnsi="Verdana"/>
          <w:bCs/>
          <w:lang w:val="es-ES_tradnl"/>
        </w:rPr>
        <w:t xml:space="preserve"> que se presenta,</w:t>
      </w:r>
      <w:r w:rsidRPr="00C70583">
        <w:rPr>
          <w:rFonts w:ascii="Verdana" w:hAnsi="Verdana"/>
          <w:bCs/>
          <w:lang w:val="es-ES_tradnl"/>
        </w:rPr>
        <w:t xml:space="preserve"> </w:t>
      </w:r>
      <w:r w:rsidR="00D11EFE">
        <w:rPr>
          <w:rFonts w:ascii="Verdana" w:hAnsi="Verdana"/>
          <w:bCs/>
          <w:lang w:val="es-ES_tradnl"/>
        </w:rPr>
        <w:t xml:space="preserve">involucra a los </w:t>
      </w:r>
      <w:r w:rsidR="008D758B">
        <w:rPr>
          <w:rFonts w:ascii="Verdana" w:hAnsi="Verdana"/>
          <w:bCs/>
          <w:lang w:val="es-ES_tradnl"/>
        </w:rPr>
        <w:t>Títulos</w:t>
      </w:r>
      <w:r w:rsidR="00D11EFE">
        <w:rPr>
          <w:rFonts w:ascii="Verdana" w:hAnsi="Verdana"/>
          <w:bCs/>
          <w:lang w:val="es-ES_tradnl"/>
        </w:rPr>
        <w:t xml:space="preserve"> 1, 2, 3</w:t>
      </w:r>
      <w:r w:rsidR="00824D7F">
        <w:rPr>
          <w:rFonts w:ascii="Verdana" w:hAnsi="Verdana"/>
          <w:bCs/>
          <w:lang w:val="es-ES_tradnl"/>
        </w:rPr>
        <w:t>, 4, 5</w:t>
      </w:r>
      <w:r w:rsidR="00D11EFE">
        <w:rPr>
          <w:rFonts w:ascii="Verdana" w:hAnsi="Verdana"/>
          <w:bCs/>
          <w:lang w:val="es-ES_tradnl"/>
        </w:rPr>
        <w:t xml:space="preserve"> y </w:t>
      </w:r>
      <w:r w:rsidR="00824D7F">
        <w:rPr>
          <w:rFonts w:ascii="Verdana" w:hAnsi="Verdana"/>
          <w:bCs/>
          <w:lang w:val="es-ES_tradnl"/>
        </w:rPr>
        <w:t>6</w:t>
      </w:r>
      <w:r w:rsidR="009F6658">
        <w:rPr>
          <w:rFonts w:ascii="Verdana" w:hAnsi="Verdana"/>
          <w:bCs/>
          <w:lang w:val="es-ES_tradnl"/>
        </w:rPr>
        <w:t>.</w:t>
      </w:r>
      <w:r w:rsidR="00D11EFE">
        <w:rPr>
          <w:rFonts w:ascii="Verdana" w:hAnsi="Verdana"/>
          <w:bCs/>
          <w:lang w:val="es-ES_tradnl"/>
        </w:rPr>
        <w:t xml:space="preserve"> </w:t>
      </w:r>
      <w:r w:rsidR="009F6658">
        <w:rPr>
          <w:rFonts w:ascii="Verdana" w:hAnsi="Verdana"/>
          <w:bCs/>
          <w:lang w:val="es-ES_tradnl"/>
        </w:rPr>
        <w:t>E</w:t>
      </w:r>
      <w:r w:rsidR="00D63036">
        <w:rPr>
          <w:rFonts w:ascii="Verdana" w:hAnsi="Verdana"/>
          <w:bCs/>
          <w:lang w:val="es-ES_tradnl"/>
        </w:rPr>
        <w:t xml:space="preserve">n su primer Título </w:t>
      </w:r>
      <w:r w:rsidR="00824D7F">
        <w:rPr>
          <w:rFonts w:ascii="Verdana" w:hAnsi="Verdana"/>
          <w:bCs/>
          <w:lang w:val="es-ES_tradnl"/>
        </w:rPr>
        <w:t>modifica e incorpora</w:t>
      </w:r>
      <w:r w:rsidR="00D11EFE">
        <w:rPr>
          <w:rFonts w:ascii="Verdana" w:hAnsi="Verdana"/>
          <w:bCs/>
          <w:lang w:val="es-ES_tradnl"/>
        </w:rPr>
        <w:t xml:space="preserve"> </w:t>
      </w:r>
      <w:r w:rsidR="00D63036">
        <w:rPr>
          <w:rFonts w:ascii="Verdana" w:hAnsi="Verdana"/>
          <w:bCs/>
          <w:lang w:val="es-ES_tradnl"/>
        </w:rPr>
        <w:t xml:space="preserve">en el artículo 1.1.2., </w:t>
      </w:r>
      <w:r w:rsidR="00824D7F">
        <w:rPr>
          <w:rFonts w:ascii="Verdana" w:hAnsi="Verdana"/>
          <w:bCs/>
          <w:lang w:val="es-ES_tradnl"/>
        </w:rPr>
        <w:t xml:space="preserve">definiciones de </w:t>
      </w:r>
      <w:r w:rsidR="00B25FD6">
        <w:rPr>
          <w:rFonts w:ascii="Verdana" w:hAnsi="Verdana"/>
          <w:bCs/>
          <w:lang w:val="es-ES_tradnl"/>
        </w:rPr>
        <w:t xml:space="preserve">algunas </w:t>
      </w:r>
      <w:r w:rsidR="00824D7F">
        <w:rPr>
          <w:rFonts w:ascii="Verdana" w:hAnsi="Verdana"/>
          <w:bCs/>
          <w:lang w:val="es-ES_tradnl"/>
        </w:rPr>
        <w:t>normas urbanísticas</w:t>
      </w:r>
      <w:r w:rsidR="00B25FD6">
        <w:rPr>
          <w:rFonts w:ascii="Verdana" w:hAnsi="Verdana"/>
          <w:bCs/>
          <w:lang w:val="es-ES_tradnl"/>
        </w:rPr>
        <w:t xml:space="preserve"> </w:t>
      </w:r>
      <w:r w:rsidR="00C04F79">
        <w:rPr>
          <w:rFonts w:ascii="Verdana" w:hAnsi="Verdana"/>
          <w:bCs/>
          <w:lang w:val="es-ES_tradnl"/>
        </w:rPr>
        <w:t>establecidas</w:t>
      </w:r>
      <w:r w:rsidR="00B25FD6">
        <w:rPr>
          <w:rFonts w:ascii="Verdana" w:hAnsi="Verdana"/>
          <w:bCs/>
          <w:lang w:val="es-ES_tradnl"/>
        </w:rPr>
        <w:t xml:space="preserve"> en el </w:t>
      </w:r>
      <w:r w:rsidR="00C04F79">
        <w:rPr>
          <w:rFonts w:ascii="Verdana" w:hAnsi="Verdana"/>
          <w:bCs/>
          <w:lang w:val="es-ES_tradnl"/>
        </w:rPr>
        <w:t xml:space="preserve">inciso séptimo del </w:t>
      </w:r>
      <w:r w:rsidR="00B25FD6">
        <w:rPr>
          <w:rFonts w:ascii="Verdana" w:hAnsi="Verdana"/>
          <w:bCs/>
          <w:lang w:val="es-ES_tradnl"/>
        </w:rPr>
        <w:t>artículo 116 de la LGUC</w:t>
      </w:r>
      <w:r w:rsidR="00E51647">
        <w:rPr>
          <w:rFonts w:ascii="Verdana" w:hAnsi="Verdana"/>
          <w:bCs/>
          <w:lang w:val="es-ES_tradnl"/>
        </w:rPr>
        <w:t>.</w:t>
      </w:r>
      <w:r w:rsidR="00D11EFE">
        <w:rPr>
          <w:rFonts w:ascii="Verdana" w:hAnsi="Verdana"/>
          <w:bCs/>
          <w:lang w:val="es-ES_tradnl"/>
        </w:rPr>
        <w:t xml:space="preserve"> </w:t>
      </w:r>
    </w:p>
    <w:p w14:paraId="50E0EB68" w14:textId="69A73ACE" w:rsidR="00AA3A90" w:rsidRDefault="00221877" w:rsidP="005B46F6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Por su parte, en el Título 2, Capítulo 1, </w:t>
      </w:r>
      <w:r w:rsidR="00C53A5C">
        <w:rPr>
          <w:rFonts w:ascii="Verdana" w:hAnsi="Verdana"/>
          <w:bCs/>
          <w:lang w:val="es-ES_tradnl"/>
        </w:rPr>
        <w:t xml:space="preserve">se modifica </w:t>
      </w:r>
      <w:r w:rsidR="00AA3A90">
        <w:rPr>
          <w:rFonts w:ascii="Verdana" w:hAnsi="Verdana"/>
          <w:bCs/>
          <w:lang w:val="es-ES_tradnl"/>
        </w:rPr>
        <w:t>el</w:t>
      </w:r>
      <w:r>
        <w:rPr>
          <w:rFonts w:ascii="Verdana" w:hAnsi="Verdana"/>
          <w:bCs/>
          <w:lang w:val="es-ES_tradnl"/>
        </w:rPr>
        <w:t xml:space="preserve"> artículo </w:t>
      </w:r>
      <w:r w:rsidR="00824D7F">
        <w:rPr>
          <w:rFonts w:ascii="Verdana" w:hAnsi="Verdana"/>
          <w:bCs/>
          <w:lang w:val="es-ES_tradnl"/>
        </w:rPr>
        <w:t>2.1.7.,</w:t>
      </w:r>
      <w:r w:rsidR="00AA3A90">
        <w:rPr>
          <w:rFonts w:ascii="Verdana" w:hAnsi="Verdana"/>
          <w:bCs/>
          <w:lang w:val="es-ES_tradnl"/>
        </w:rPr>
        <w:t xml:space="preserve"> </w:t>
      </w:r>
      <w:r w:rsidR="00C53A5C">
        <w:rPr>
          <w:rFonts w:ascii="Verdana" w:hAnsi="Verdana"/>
          <w:bCs/>
          <w:lang w:val="es-ES_tradnl"/>
        </w:rPr>
        <w:t xml:space="preserve">en el sentido de </w:t>
      </w:r>
      <w:r w:rsidR="00AA3A90">
        <w:rPr>
          <w:rFonts w:ascii="Verdana" w:hAnsi="Verdana"/>
          <w:bCs/>
          <w:lang w:val="es-ES_tradnl"/>
        </w:rPr>
        <w:t>otorg</w:t>
      </w:r>
      <w:r w:rsidR="00C53A5C">
        <w:rPr>
          <w:rFonts w:ascii="Verdana" w:hAnsi="Verdana"/>
          <w:bCs/>
          <w:lang w:val="es-ES_tradnl"/>
        </w:rPr>
        <w:t>ar</w:t>
      </w:r>
      <w:r w:rsidR="00AA3A90">
        <w:rPr>
          <w:rFonts w:ascii="Verdana" w:hAnsi="Verdana"/>
          <w:bCs/>
          <w:lang w:val="es-ES_tradnl"/>
        </w:rPr>
        <w:t xml:space="preserve"> facultades al Plan Regulador Intercomunal para definir usos y destinos compatibles con</w:t>
      </w:r>
      <w:r w:rsidR="00AA3A90" w:rsidRPr="00AA3A90">
        <w:rPr>
          <w:rFonts w:ascii="Verdana" w:hAnsi="Verdana"/>
          <w:bCs/>
          <w:lang w:val="es-MX"/>
        </w:rPr>
        <w:t xml:space="preserve"> </w:t>
      </w:r>
      <w:r w:rsidR="00AA3A90">
        <w:rPr>
          <w:rFonts w:ascii="Verdana" w:hAnsi="Verdana"/>
          <w:bCs/>
          <w:lang w:val="es-MX"/>
        </w:rPr>
        <w:t>e</w:t>
      </w:r>
      <w:r w:rsidR="00AA3A90" w:rsidRPr="00F43116">
        <w:rPr>
          <w:rFonts w:ascii="Verdana" w:hAnsi="Verdana"/>
          <w:bCs/>
          <w:lang w:val="es-MX"/>
        </w:rPr>
        <w:t>dificaciones e instalaciones destinadas a infraestructuras de impacto intercomunal</w:t>
      </w:r>
      <w:r w:rsidR="00AA3A90">
        <w:rPr>
          <w:rFonts w:ascii="Verdana" w:hAnsi="Verdana"/>
          <w:bCs/>
          <w:lang w:val="es-MX"/>
        </w:rPr>
        <w:t xml:space="preserve"> y</w:t>
      </w:r>
      <w:r w:rsidR="00AA3A90">
        <w:rPr>
          <w:rFonts w:ascii="Verdana" w:hAnsi="Verdana"/>
          <w:bCs/>
          <w:lang w:val="es-ES_tradnl"/>
        </w:rPr>
        <w:t xml:space="preserve"> </w:t>
      </w:r>
      <w:r w:rsidR="00AA3A90">
        <w:rPr>
          <w:rFonts w:ascii="Verdana" w:hAnsi="Verdana"/>
          <w:bCs/>
          <w:lang w:val="es-MX"/>
        </w:rPr>
        <w:t>a</w:t>
      </w:r>
      <w:r w:rsidR="00AA3A90" w:rsidRPr="00F43116">
        <w:rPr>
          <w:rFonts w:ascii="Verdana" w:hAnsi="Verdana"/>
          <w:bCs/>
          <w:lang w:val="es-MX"/>
        </w:rPr>
        <w:t>ctividades productivas de impacto intercomunal</w:t>
      </w:r>
      <w:r w:rsidR="00C53A5C">
        <w:rPr>
          <w:rFonts w:ascii="Verdana" w:hAnsi="Verdana"/>
          <w:bCs/>
          <w:lang w:val="es-MX"/>
        </w:rPr>
        <w:t>. A</w:t>
      </w:r>
      <w:r w:rsidR="00AA3A90">
        <w:rPr>
          <w:rFonts w:ascii="Verdana" w:hAnsi="Verdana"/>
          <w:bCs/>
          <w:lang w:val="es-MX"/>
        </w:rPr>
        <w:t xml:space="preserve">simismo se </w:t>
      </w:r>
      <w:r w:rsidR="00C53A5C">
        <w:rPr>
          <w:rFonts w:ascii="Verdana" w:hAnsi="Verdana"/>
          <w:bCs/>
          <w:lang w:val="es-MX"/>
        </w:rPr>
        <w:t xml:space="preserve">incorpora </w:t>
      </w:r>
      <w:r w:rsidR="00C04F79">
        <w:rPr>
          <w:rFonts w:ascii="Verdana" w:hAnsi="Verdana"/>
          <w:bCs/>
          <w:lang w:val="es-MX"/>
        </w:rPr>
        <w:t>la</w:t>
      </w:r>
      <w:r w:rsidR="00AA3A90">
        <w:rPr>
          <w:rFonts w:ascii="Verdana" w:hAnsi="Verdana"/>
          <w:bCs/>
          <w:lang w:val="es-MX"/>
        </w:rPr>
        <w:t xml:space="preserve"> facultad de fijar </w:t>
      </w:r>
      <w:r w:rsidR="00C53A5C">
        <w:rPr>
          <w:rFonts w:ascii="Verdana" w:hAnsi="Verdana"/>
          <w:bCs/>
          <w:lang w:val="es-MX"/>
        </w:rPr>
        <w:t xml:space="preserve">el </w:t>
      </w:r>
      <w:r w:rsidR="00AA3A90">
        <w:rPr>
          <w:rFonts w:ascii="Verdana" w:hAnsi="Verdana"/>
          <w:bCs/>
          <w:lang w:val="es-MX"/>
        </w:rPr>
        <w:t xml:space="preserve">rango de las densidades máximas para los Planes Reguladores Comunales (PRC) y </w:t>
      </w:r>
      <w:r w:rsidR="00AA3A90">
        <w:rPr>
          <w:rFonts w:ascii="Verdana" w:hAnsi="Verdana"/>
          <w:bCs/>
          <w:lang w:val="es-CL"/>
        </w:rPr>
        <w:t>s</w:t>
      </w:r>
      <w:r w:rsidR="00AA3A90" w:rsidRPr="00AA3A90">
        <w:rPr>
          <w:rFonts w:ascii="Verdana" w:hAnsi="Verdana"/>
          <w:bCs/>
          <w:lang w:val="es-CL"/>
        </w:rPr>
        <w:t xml:space="preserve">e </w:t>
      </w:r>
      <w:r w:rsidR="0027787C">
        <w:rPr>
          <w:rFonts w:ascii="Verdana" w:hAnsi="Verdana"/>
          <w:bCs/>
          <w:lang w:val="es-CL"/>
        </w:rPr>
        <w:t>reglamenta la</w:t>
      </w:r>
      <w:r w:rsidR="0027787C" w:rsidRPr="00AA3A90">
        <w:rPr>
          <w:rFonts w:ascii="Verdana" w:hAnsi="Verdana"/>
          <w:bCs/>
          <w:lang w:val="es-CL"/>
        </w:rPr>
        <w:t xml:space="preserve"> </w:t>
      </w:r>
      <w:r w:rsidR="0027787C">
        <w:rPr>
          <w:rFonts w:ascii="Verdana" w:hAnsi="Verdana"/>
          <w:bCs/>
          <w:lang w:val="es-CL"/>
        </w:rPr>
        <w:t>facultad de establecer</w:t>
      </w:r>
      <w:r w:rsidR="00AA3A90" w:rsidRPr="00AA3A90">
        <w:rPr>
          <w:rFonts w:ascii="Verdana" w:hAnsi="Verdana"/>
          <w:bCs/>
          <w:lang w:val="es-CL"/>
        </w:rPr>
        <w:t xml:space="preserve"> “Áreas de Desarrollo Prioritario”</w:t>
      </w:r>
      <w:r w:rsidR="0027787C">
        <w:rPr>
          <w:rFonts w:ascii="Verdana" w:hAnsi="Verdana"/>
          <w:bCs/>
          <w:lang w:val="es-CL"/>
        </w:rPr>
        <w:t>, conforme a</w:t>
      </w:r>
      <w:r w:rsidR="00C53A5C">
        <w:rPr>
          <w:rFonts w:ascii="Verdana" w:hAnsi="Verdana"/>
          <w:bCs/>
          <w:lang w:val="es-CL"/>
        </w:rPr>
        <w:t xml:space="preserve"> lo establecido en el </w:t>
      </w:r>
      <w:r w:rsidR="0027787C">
        <w:rPr>
          <w:rFonts w:ascii="Verdana" w:hAnsi="Verdana"/>
          <w:bCs/>
          <w:lang w:val="es-CL"/>
        </w:rPr>
        <w:t>artículo 35 de la LGUC</w:t>
      </w:r>
      <w:r w:rsidR="00AA3A90">
        <w:rPr>
          <w:rFonts w:ascii="Verdana" w:hAnsi="Verdana"/>
          <w:bCs/>
          <w:lang w:val="es-MX"/>
        </w:rPr>
        <w:t>.</w:t>
      </w:r>
      <w:r w:rsidR="00824D7F">
        <w:rPr>
          <w:rFonts w:ascii="Verdana" w:hAnsi="Verdana"/>
          <w:bCs/>
          <w:lang w:val="es-ES_tradnl"/>
        </w:rPr>
        <w:t xml:space="preserve"> </w:t>
      </w:r>
    </w:p>
    <w:p w14:paraId="5FB3DE81" w14:textId="2E4A1218" w:rsidR="00824D7F" w:rsidRDefault="00AA3A90" w:rsidP="005B46F6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Se modifica el artículo </w:t>
      </w:r>
      <w:r w:rsidR="00221877">
        <w:rPr>
          <w:rFonts w:ascii="Verdana" w:hAnsi="Verdana"/>
          <w:bCs/>
          <w:lang w:val="es-ES_tradnl"/>
        </w:rPr>
        <w:t>2.1.10</w:t>
      </w:r>
      <w:r w:rsidR="00824D7F">
        <w:rPr>
          <w:rFonts w:ascii="Verdana" w:hAnsi="Verdana"/>
          <w:bCs/>
          <w:lang w:val="es-ES_tradnl"/>
        </w:rPr>
        <w:t>.</w:t>
      </w:r>
      <w:r w:rsidR="00221877">
        <w:rPr>
          <w:rFonts w:ascii="Verdana" w:hAnsi="Verdana"/>
          <w:bCs/>
          <w:lang w:val="es-ES_tradnl"/>
        </w:rPr>
        <w:t>,</w:t>
      </w:r>
      <w:r>
        <w:rPr>
          <w:rFonts w:ascii="Verdana" w:hAnsi="Verdana"/>
          <w:bCs/>
          <w:lang w:val="es-ES_tradnl"/>
        </w:rPr>
        <w:t xml:space="preserve"> </w:t>
      </w:r>
      <w:r>
        <w:rPr>
          <w:rFonts w:ascii="Verdana" w:hAnsi="Verdana"/>
          <w:bCs/>
          <w:lang w:val="es-CL"/>
        </w:rPr>
        <w:t>en el sentido de</w:t>
      </w:r>
      <w:r w:rsidRPr="00AA3A90">
        <w:rPr>
          <w:rFonts w:ascii="Verdana" w:hAnsi="Verdana"/>
          <w:bCs/>
          <w:lang w:val="es-CL"/>
        </w:rPr>
        <w:t xml:space="preserve"> mejorar</w:t>
      </w:r>
      <w:r>
        <w:rPr>
          <w:rFonts w:ascii="Verdana" w:hAnsi="Verdana"/>
          <w:bCs/>
          <w:lang w:val="es-CL"/>
        </w:rPr>
        <w:t xml:space="preserve"> los</w:t>
      </w:r>
      <w:r w:rsidRPr="00AA3A90">
        <w:rPr>
          <w:rFonts w:ascii="Verdana" w:hAnsi="Verdana"/>
          <w:bCs/>
          <w:lang w:val="es-CL"/>
        </w:rPr>
        <w:t xml:space="preserve"> contenidos de la Memoria Explicativa en la elaboración de PRC, </w:t>
      </w:r>
      <w:r w:rsidR="00292CB8">
        <w:rPr>
          <w:rFonts w:ascii="Verdana" w:hAnsi="Verdana"/>
          <w:bCs/>
          <w:lang w:val="es-CL"/>
        </w:rPr>
        <w:t xml:space="preserve">además de </w:t>
      </w:r>
      <w:r w:rsidRPr="00AA3A90">
        <w:rPr>
          <w:rFonts w:ascii="Verdana" w:hAnsi="Verdana"/>
          <w:bCs/>
          <w:lang w:val="es-CL"/>
        </w:rPr>
        <w:t>precisa</w:t>
      </w:r>
      <w:r w:rsidR="00292CB8">
        <w:rPr>
          <w:rFonts w:ascii="Verdana" w:hAnsi="Verdana"/>
          <w:bCs/>
          <w:lang w:val="es-CL"/>
        </w:rPr>
        <w:t xml:space="preserve">r </w:t>
      </w:r>
      <w:r w:rsidRPr="00AA3A90">
        <w:rPr>
          <w:rFonts w:ascii="Verdana" w:hAnsi="Verdana"/>
          <w:bCs/>
          <w:lang w:val="es-CL"/>
        </w:rPr>
        <w:t xml:space="preserve">y </w:t>
      </w:r>
      <w:r w:rsidR="0027787C">
        <w:rPr>
          <w:rFonts w:ascii="Verdana" w:hAnsi="Verdana"/>
          <w:bCs/>
          <w:lang w:val="es-CL"/>
        </w:rPr>
        <w:t>ampl</w:t>
      </w:r>
      <w:r w:rsidR="00292CB8">
        <w:rPr>
          <w:rFonts w:ascii="Verdana" w:hAnsi="Verdana"/>
          <w:bCs/>
          <w:lang w:val="es-CL"/>
        </w:rPr>
        <w:t>iar</w:t>
      </w:r>
      <w:r w:rsidR="0027787C">
        <w:rPr>
          <w:rFonts w:ascii="Verdana" w:hAnsi="Verdana"/>
          <w:bCs/>
          <w:lang w:val="es-CL"/>
        </w:rPr>
        <w:t xml:space="preserve"> la forma de</w:t>
      </w:r>
      <w:r w:rsidRPr="00AA3A90">
        <w:rPr>
          <w:rFonts w:ascii="Verdana" w:hAnsi="Verdana"/>
          <w:bCs/>
          <w:lang w:val="es-CL"/>
        </w:rPr>
        <w:t xml:space="preserve"> </w:t>
      </w:r>
      <w:r w:rsidR="0027787C" w:rsidRPr="00AA3A90">
        <w:rPr>
          <w:rFonts w:ascii="Verdana" w:hAnsi="Verdana"/>
          <w:bCs/>
          <w:lang w:val="es-CL"/>
        </w:rPr>
        <w:t>determina</w:t>
      </w:r>
      <w:r w:rsidR="0027787C">
        <w:rPr>
          <w:rFonts w:ascii="Verdana" w:hAnsi="Verdana"/>
          <w:bCs/>
          <w:lang w:val="es-CL"/>
        </w:rPr>
        <w:t>r</w:t>
      </w:r>
      <w:r w:rsidR="0027787C" w:rsidRPr="00AA3A90">
        <w:rPr>
          <w:rFonts w:ascii="Verdana" w:hAnsi="Verdana"/>
          <w:bCs/>
          <w:lang w:val="es-CL"/>
        </w:rPr>
        <w:t xml:space="preserve"> </w:t>
      </w:r>
      <w:r w:rsidRPr="00AA3A90">
        <w:rPr>
          <w:rFonts w:ascii="Verdana" w:hAnsi="Verdana"/>
          <w:bCs/>
          <w:lang w:val="es-CL"/>
        </w:rPr>
        <w:t>la</w:t>
      </w:r>
      <w:r>
        <w:rPr>
          <w:rFonts w:ascii="Verdana" w:hAnsi="Verdana"/>
          <w:bCs/>
          <w:lang w:val="es-CL"/>
        </w:rPr>
        <w:t>s</w:t>
      </w:r>
      <w:r w:rsidRPr="00AA3A90">
        <w:rPr>
          <w:rFonts w:ascii="Verdana" w:hAnsi="Verdana"/>
          <w:bCs/>
          <w:lang w:val="es-CL"/>
        </w:rPr>
        <w:t xml:space="preserve"> </w:t>
      </w:r>
      <w:r>
        <w:rPr>
          <w:rFonts w:ascii="Verdana" w:hAnsi="Verdana"/>
          <w:bCs/>
          <w:lang w:val="es-CL"/>
        </w:rPr>
        <w:t>normas urbanísticas</w:t>
      </w:r>
      <w:r w:rsidRPr="00AA3A90">
        <w:rPr>
          <w:rFonts w:ascii="Verdana" w:hAnsi="Verdana"/>
          <w:bCs/>
          <w:lang w:val="es-CL"/>
        </w:rPr>
        <w:t xml:space="preserve"> en la Ordenanza Local</w:t>
      </w:r>
      <w:r w:rsidR="00824D7F">
        <w:rPr>
          <w:rFonts w:ascii="Verdana" w:hAnsi="Verdana"/>
          <w:bCs/>
          <w:lang w:val="es-ES_tradnl"/>
        </w:rPr>
        <w:t>.</w:t>
      </w:r>
    </w:p>
    <w:p w14:paraId="126BE005" w14:textId="44B255CB" w:rsidR="008D758B" w:rsidRDefault="00600501" w:rsidP="005B46F6">
      <w:pPr>
        <w:spacing w:before="120" w:after="0"/>
        <w:jc w:val="both"/>
        <w:rPr>
          <w:rFonts w:ascii="Verdana" w:hAnsi="Verdana"/>
          <w:bCs/>
          <w:lang w:val="es-CL"/>
        </w:rPr>
      </w:pPr>
      <w:r>
        <w:rPr>
          <w:rFonts w:ascii="Verdana" w:hAnsi="Verdana"/>
          <w:bCs/>
          <w:lang w:val="es-ES_tradnl"/>
        </w:rPr>
        <w:t>S</w:t>
      </w:r>
      <w:r w:rsidR="008D758B">
        <w:rPr>
          <w:rFonts w:ascii="Verdana" w:hAnsi="Verdana"/>
          <w:bCs/>
          <w:lang w:val="es-ES_tradnl"/>
        </w:rPr>
        <w:t>e modifican los artículos</w:t>
      </w:r>
      <w:r w:rsidR="007C0173">
        <w:rPr>
          <w:rFonts w:ascii="Verdana" w:hAnsi="Verdana"/>
          <w:bCs/>
          <w:lang w:val="es-ES_tradnl"/>
        </w:rPr>
        <w:t xml:space="preserve"> 2.1.2., </w:t>
      </w:r>
      <w:r w:rsidR="00F43116">
        <w:rPr>
          <w:rFonts w:ascii="Verdana" w:hAnsi="Verdana"/>
          <w:bCs/>
          <w:lang w:val="es-ES_tradnl"/>
        </w:rPr>
        <w:t>2.1.13., 2.1.15.</w:t>
      </w:r>
      <w:r w:rsidR="007C0173">
        <w:rPr>
          <w:rFonts w:ascii="Verdana" w:hAnsi="Verdana"/>
          <w:bCs/>
          <w:lang w:val="es-ES_tradnl"/>
        </w:rPr>
        <w:t xml:space="preserve"> y</w:t>
      </w:r>
      <w:r w:rsidR="00F43116">
        <w:rPr>
          <w:rFonts w:ascii="Verdana" w:hAnsi="Verdana"/>
          <w:bCs/>
          <w:lang w:val="es-ES_tradnl"/>
        </w:rPr>
        <w:t xml:space="preserve"> 2.1.16., en concordancia con los artículos señalados precedentemente</w:t>
      </w:r>
      <w:r w:rsidR="00AA3A90">
        <w:rPr>
          <w:rFonts w:ascii="Verdana" w:hAnsi="Verdana"/>
          <w:bCs/>
          <w:lang w:val="es-ES_tradnl"/>
        </w:rPr>
        <w:t>. En el artículo 2.1.13. se</w:t>
      </w:r>
      <w:r w:rsidR="00AA3A90" w:rsidRPr="00AA3A90">
        <w:rPr>
          <w:rFonts w:ascii="Calibri" w:eastAsiaTheme="minorEastAsia" w:hAnsi="Calibri"/>
          <w:color w:val="4A442A" w:themeColor="background2" w:themeShade="40"/>
          <w:kern w:val="24"/>
          <w:sz w:val="32"/>
          <w:szCs w:val="32"/>
        </w:rPr>
        <w:t xml:space="preserve"> </w:t>
      </w:r>
      <w:r w:rsidR="0027787C">
        <w:rPr>
          <w:rFonts w:ascii="Verdana" w:hAnsi="Verdana"/>
          <w:bCs/>
        </w:rPr>
        <w:t xml:space="preserve">recupera el </w:t>
      </w:r>
      <w:r w:rsidR="00AA3A90">
        <w:rPr>
          <w:rFonts w:ascii="Verdana" w:hAnsi="Verdana"/>
          <w:bCs/>
        </w:rPr>
        <w:t xml:space="preserve">límite a </w:t>
      </w:r>
      <w:r w:rsidR="00AA3A90" w:rsidRPr="00AA3A90">
        <w:rPr>
          <w:rFonts w:ascii="Verdana" w:hAnsi="Verdana"/>
          <w:bCs/>
        </w:rPr>
        <w:t>la dotación de estacionamientos</w:t>
      </w:r>
      <w:r w:rsidR="00AA3A90">
        <w:rPr>
          <w:rFonts w:ascii="Verdana" w:hAnsi="Verdana"/>
          <w:bCs/>
        </w:rPr>
        <w:t xml:space="preserve"> para incrementar o disminuir</w:t>
      </w:r>
      <w:r w:rsidR="00AA3A90" w:rsidRPr="00AA3A90">
        <w:rPr>
          <w:rFonts w:ascii="Verdana" w:hAnsi="Verdana"/>
          <w:bCs/>
        </w:rPr>
        <w:t xml:space="preserve"> hasta en un 30%</w:t>
      </w:r>
      <w:r w:rsidR="00AA3A90">
        <w:rPr>
          <w:rFonts w:ascii="Verdana" w:hAnsi="Verdana"/>
          <w:bCs/>
        </w:rPr>
        <w:t>. En el artículo 2.1.15. se precisa</w:t>
      </w:r>
      <w:r w:rsidR="00D63036">
        <w:rPr>
          <w:rFonts w:ascii="Verdana" w:hAnsi="Verdana"/>
          <w:bCs/>
        </w:rPr>
        <w:t>n</w:t>
      </w:r>
      <w:r w:rsidR="00AA3A90">
        <w:rPr>
          <w:rFonts w:ascii="Verdana" w:hAnsi="Verdana"/>
          <w:bCs/>
        </w:rPr>
        <w:t xml:space="preserve"> </w:t>
      </w:r>
      <w:r w:rsidR="007C0173">
        <w:rPr>
          <w:rFonts w:ascii="Verdana" w:hAnsi="Verdana"/>
          <w:bCs/>
        </w:rPr>
        <w:t>normas urbanísticas mínimas para planes seccionales. En los artículo</w:t>
      </w:r>
      <w:r w:rsidR="005A4BE0">
        <w:rPr>
          <w:rFonts w:ascii="Verdana" w:hAnsi="Verdana"/>
          <w:bCs/>
        </w:rPr>
        <w:t>s</w:t>
      </w:r>
      <w:r w:rsidR="007C0173">
        <w:rPr>
          <w:rFonts w:ascii="Verdana" w:hAnsi="Verdana"/>
          <w:bCs/>
        </w:rPr>
        <w:t xml:space="preserve"> 2.1.2. y 2.1.16. </w:t>
      </w:r>
      <w:r w:rsidR="007C0173">
        <w:rPr>
          <w:rFonts w:ascii="Verdana" w:hAnsi="Verdana"/>
          <w:bCs/>
          <w:lang w:val="es-CL"/>
        </w:rPr>
        <w:t>s</w:t>
      </w:r>
      <w:r w:rsidR="007C0173" w:rsidRPr="00AA3A90">
        <w:rPr>
          <w:rFonts w:ascii="Verdana" w:hAnsi="Verdana"/>
          <w:bCs/>
          <w:lang w:val="es-CL"/>
        </w:rPr>
        <w:t>e elimina el Límite Urbano como I</w:t>
      </w:r>
      <w:r w:rsidR="007C0173">
        <w:rPr>
          <w:rFonts w:ascii="Verdana" w:hAnsi="Verdana"/>
          <w:bCs/>
          <w:lang w:val="es-CL"/>
        </w:rPr>
        <w:t xml:space="preserve">nstrumento de </w:t>
      </w:r>
      <w:r w:rsidR="007C0173" w:rsidRPr="00AA3A90">
        <w:rPr>
          <w:rFonts w:ascii="Verdana" w:hAnsi="Verdana"/>
          <w:bCs/>
          <w:lang w:val="es-CL"/>
        </w:rPr>
        <w:t>P</w:t>
      </w:r>
      <w:r w:rsidR="007C0173">
        <w:rPr>
          <w:rFonts w:ascii="Verdana" w:hAnsi="Verdana"/>
          <w:bCs/>
          <w:lang w:val="es-CL"/>
        </w:rPr>
        <w:t xml:space="preserve">lanificación </w:t>
      </w:r>
      <w:r w:rsidR="007C0173" w:rsidRPr="00AA3A90">
        <w:rPr>
          <w:rFonts w:ascii="Verdana" w:hAnsi="Verdana"/>
          <w:bCs/>
          <w:lang w:val="es-CL"/>
        </w:rPr>
        <w:t>T</w:t>
      </w:r>
      <w:r w:rsidR="007C0173">
        <w:rPr>
          <w:rFonts w:ascii="Verdana" w:hAnsi="Verdana"/>
          <w:bCs/>
          <w:lang w:val="es-CL"/>
        </w:rPr>
        <w:t>erritorial (IPT)</w:t>
      </w:r>
      <w:r w:rsidR="007C0173" w:rsidRPr="00AA3A90">
        <w:rPr>
          <w:rFonts w:ascii="Verdana" w:hAnsi="Verdana"/>
          <w:bCs/>
          <w:lang w:val="es-CL"/>
        </w:rPr>
        <w:t xml:space="preserve"> y</w:t>
      </w:r>
      <w:r w:rsidR="0027787C">
        <w:rPr>
          <w:rFonts w:ascii="Verdana" w:hAnsi="Verdana"/>
          <w:bCs/>
          <w:lang w:val="es-CL"/>
        </w:rPr>
        <w:t>,</w:t>
      </w:r>
      <w:r w:rsidR="007C0173" w:rsidRPr="00AA3A90">
        <w:rPr>
          <w:rFonts w:ascii="Verdana" w:hAnsi="Verdana"/>
          <w:bCs/>
          <w:lang w:val="es-CL"/>
        </w:rPr>
        <w:t xml:space="preserve"> en </w:t>
      </w:r>
      <w:r w:rsidR="0027787C">
        <w:rPr>
          <w:rFonts w:ascii="Verdana" w:hAnsi="Verdana"/>
          <w:bCs/>
          <w:lang w:val="es-CL"/>
        </w:rPr>
        <w:t xml:space="preserve">el entendido que el artículo 53 de la LGUC solo hace referencia al requisito </w:t>
      </w:r>
      <w:r w:rsidR="00AC3878">
        <w:rPr>
          <w:rFonts w:ascii="Verdana" w:hAnsi="Verdana"/>
          <w:bCs/>
          <w:lang w:val="es-CL"/>
        </w:rPr>
        <w:t>de contar con informe de la Secretaría Regional Ministerial de Agricultura</w:t>
      </w:r>
      <w:r w:rsidR="0027787C">
        <w:rPr>
          <w:rFonts w:ascii="Verdana" w:hAnsi="Verdana"/>
          <w:bCs/>
          <w:lang w:val="es-CL"/>
        </w:rPr>
        <w:t xml:space="preserve"> cuando un instrumento de planificación</w:t>
      </w:r>
      <w:r w:rsidR="0027787C" w:rsidRPr="00AA3A90">
        <w:rPr>
          <w:rFonts w:ascii="Verdana" w:hAnsi="Verdana"/>
          <w:bCs/>
          <w:lang w:val="es-CL"/>
        </w:rPr>
        <w:t xml:space="preserve"> </w:t>
      </w:r>
      <w:r w:rsidR="00AC3878">
        <w:rPr>
          <w:rFonts w:ascii="Verdana" w:hAnsi="Verdana"/>
          <w:bCs/>
          <w:lang w:val="es-CL"/>
        </w:rPr>
        <w:t xml:space="preserve">fija o modifica el límite urbano, </w:t>
      </w:r>
      <w:r w:rsidR="007C0173" w:rsidRPr="00AA3A90">
        <w:rPr>
          <w:rFonts w:ascii="Verdana" w:hAnsi="Verdana"/>
          <w:bCs/>
          <w:lang w:val="es-CL"/>
        </w:rPr>
        <w:t xml:space="preserve">se precisan </w:t>
      </w:r>
      <w:r w:rsidR="00AC3878">
        <w:rPr>
          <w:rFonts w:ascii="Verdana" w:hAnsi="Verdana"/>
          <w:bCs/>
          <w:lang w:val="es-CL"/>
        </w:rPr>
        <w:t xml:space="preserve">tales </w:t>
      </w:r>
      <w:r w:rsidR="007C0173" w:rsidRPr="00AA3A90">
        <w:rPr>
          <w:rFonts w:ascii="Verdana" w:hAnsi="Verdana"/>
          <w:bCs/>
          <w:lang w:val="es-CL"/>
        </w:rPr>
        <w:t xml:space="preserve">requisitos </w:t>
      </w:r>
      <w:r w:rsidR="00AC3878">
        <w:rPr>
          <w:rFonts w:ascii="Verdana" w:hAnsi="Verdana"/>
          <w:bCs/>
          <w:lang w:val="es-CL"/>
        </w:rPr>
        <w:t>en la Ordenanza</w:t>
      </w:r>
      <w:r w:rsidR="007C0173">
        <w:rPr>
          <w:rFonts w:ascii="Verdana" w:hAnsi="Verdana"/>
          <w:bCs/>
          <w:lang w:val="es-CL"/>
        </w:rPr>
        <w:t>.</w:t>
      </w:r>
    </w:p>
    <w:p w14:paraId="4F7DDB89" w14:textId="77777777" w:rsidR="00600501" w:rsidRDefault="00600501" w:rsidP="005B46F6">
      <w:pPr>
        <w:spacing w:before="120" w:after="0"/>
        <w:jc w:val="both"/>
        <w:rPr>
          <w:rFonts w:ascii="Verdana" w:hAnsi="Verdana"/>
          <w:bCs/>
          <w:lang w:val="es-CL"/>
        </w:rPr>
      </w:pPr>
      <w:r>
        <w:rPr>
          <w:rFonts w:ascii="Verdana" w:hAnsi="Verdana"/>
          <w:bCs/>
          <w:lang w:val="es-CL"/>
        </w:rPr>
        <w:t xml:space="preserve">Se modifican los artículos 2.1.28. y 2.1.29. permitiendo a las actividades productivas </w:t>
      </w:r>
      <w:r w:rsidR="00816D1E">
        <w:rPr>
          <w:rFonts w:ascii="Verdana" w:hAnsi="Verdana"/>
          <w:bCs/>
          <w:lang w:val="es-CL"/>
        </w:rPr>
        <w:t>e</w:t>
      </w:r>
      <w:r>
        <w:rPr>
          <w:rFonts w:ascii="Verdana" w:hAnsi="Verdana"/>
          <w:bCs/>
          <w:lang w:val="es-CL"/>
        </w:rPr>
        <w:t xml:space="preserve"> instalaciones o edificaciones de infraestructura</w:t>
      </w:r>
      <w:r w:rsidR="00B50959">
        <w:rPr>
          <w:rFonts w:ascii="Verdana" w:hAnsi="Verdana"/>
          <w:bCs/>
          <w:lang w:val="es-CL"/>
        </w:rPr>
        <w:t>,</w:t>
      </w:r>
      <w:r>
        <w:rPr>
          <w:rFonts w:ascii="Verdana" w:hAnsi="Verdana"/>
          <w:bCs/>
          <w:lang w:val="es-CL"/>
        </w:rPr>
        <w:t xml:space="preserve"> puedan contar con locales destinados a otros usos que determine el IPT.</w:t>
      </w:r>
    </w:p>
    <w:p w14:paraId="2A5BE7B2" w14:textId="68160EBA" w:rsidR="007C0173" w:rsidRDefault="007C0173" w:rsidP="007C0173">
      <w:pPr>
        <w:spacing w:before="120"/>
        <w:jc w:val="both"/>
        <w:rPr>
          <w:rFonts w:ascii="Verdana" w:hAnsi="Verdana"/>
          <w:bCs/>
          <w:lang w:val="es-CL"/>
        </w:rPr>
      </w:pPr>
      <w:r>
        <w:rPr>
          <w:rFonts w:ascii="Verdana" w:hAnsi="Verdana"/>
          <w:bCs/>
          <w:lang w:val="es-CL"/>
        </w:rPr>
        <w:t>Igualmente s</w:t>
      </w:r>
      <w:r w:rsidRPr="007C0173">
        <w:rPr>
          <w:rFonts w:ascii="Verdana" w:hAnsi="Verdana"/>
          <w:bCs/>
          <w:lang w:val="es-CL"/>
        </w:rPr>
        <w:t xml:space="preserve">e reemplaza en diversos artículos el término “Plan Regulador Comunal” por “Instrumento de Planificación Territorial”, lo que habilita la definición de </w:t>
      </w:r>
      <w:r>
        <w:rPr>
          <w:rFonts w:ascii="Verdana" w:hAnsi="Verdana"/>
          <w:bCs/>
          <w:lang w:val="es-CL"/>
        </w:rPr>
        <w:t>normas urbanísticas</w:t>
      </w:r>
      <w:r w:rsidRPr="007C0173">
        <w:rPr>
          <w:rFonts w:ascii="Verdana" w:hAnsi="Verdana"/>
          <w:bCs/>
          <w:lang w:val="es-CL"/>
        </w:rPr>
        <w:t xml:space="preserve"> para los </w:t>
      </w:r>
      <w:r>
        <w:rPr>
          <w:rFonts w:ascii="Verdana" w:hAnsi="Verdana"/>
          <w:bCs/>
          <w:lang w:val="es-CL"/>
        </w:rPr>
        <w:t>Planes Reguladores Intercomunales</w:t>
      </w:r>
      <w:r w:rsidR="00AC3878">
        <w:rPr>
          <w:rFonts w:ascii="Verdana" w:hAnsi="Verdana"/>
          <w:bCs/>
          <w:lang w:val="es-CL"/>
        </w:rPr>
        <w:t xml:space="preserve"> en su ámbito de competencia, ya</w:t>
      </w:r>
      <w:r w:rsidRPr="007C0173">
        <w:rPr>
          <w:rFonts w:ascii="Verdana" w:hAnsi="Verdana"/>
          <w:bCs/>
          <w:lang w:val="es-CL"/>
        </w:rPr>
        <w:t xml:space="preserve"> que actualmente están restringidas al PRC</w:t>
      </w:r>
      <w:r>
        <w:rPr>
          <w:rFonts w:ascii="Verdana" w:hAnsi="Verdana"/>
          <w:bCs/>
          <w:lang w:val="es-CL"/>
        </w:rPr>
        <w:t xml:space="preserve">, a saber artículos </w:t>
      </w:r>
      <w:r w:rsidRPr="007C0173">
        <w:rPr>
          <w:rFonts w:ascii="Verdana" w:hAnsi="Verdana"/>
          <w:bCs/>
          <w:lang w:val="es-CL"/>
        </w:rPr>
        <w:t xml:space="preserve">2.1.23., 2.4.1. bis, </w:t>
      </w:r>
      <w:r w:rsidR="00600501">
        <w:rPr>
          <w:rFonts w:ascii="Verdana" w:hAnsi="Verdana"/>
          <w:bCs/>
          <w:lang w:val="es-CL"/>
        </w:rPr>
        <w:t>2.4.2., 2.5.4., 2.6.2.,</w:t>
      </w:r>
      <w:r w:rsidRPr="007C0173">
        <w:rPr>
          <w:rFonts w:ascii="Verdana" w:hAnsi="Verdana"/>
          <w:bCs/>
          <w:lang w:val="es-CL"/>
        </w:rPr>
        <w:t xml:space="preserve"> 2.6.1</w:t>
      </w:r>
      <w:r w:rsidR="0011415F" w:rsidRPr="007C0173">
        <w:rPr>
          <w:rFonts w:ascii="Verdana" w:hAnsi="Verdana"/>
          <w:bCs/>
          <w:lang w:val="es-CL"/>
        </w:rPr>
        <w:t>., 2</w:t>
      </w:r>
      <w:r w:rsidRPr="007C0173">
        <w:rPr>
          <w:rFonts w:ascii="Verdana" w:hAnsi="Verdana"/>
          <w:bCs/>
          <w:lang w:val="es-CL"/>
        </w:rPr>
        <w:t>.6.3.,  4.3.21</w:t>
      </w:r>
      <w:r>
        <w:rPr>
          <w:rFonts w:ascii="Verdana" w:hAnsi="Verdana"/>
          <w:bCs/>
          <w:lang w:val="es-CL"/>
        </w:rPr>
        <w:t>.</w:t>
      </w:r>
      <w:r w:rsidR="001D566B">
        <w:rPr>
          <w:rFonts w:ascii="Verdana" w:hAnsi="Verdana"/>
          <w:bCs/>
          <w:lang w:val="es-CL"/>
        </w:rPr>
        <w:t xml:space="preserve"> En la misma línea, en el artículo 2.1.34. se incorpora el nivel Intercomunal.</w:t>
      </w:r>
    </w:p>
    <w:p w14:paraId="22D451BC" w14:textId="7D06657C" w:rsidR="001D566B" w:rsidRDefault="001D566B" w:rsidP="007C0173">
      <w:pPr>
        <w:spacing w:before="120"/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es-CL"/>
        </w:rPr>
        <w:t xml:space="preserve">Se </w:t>
      </w:r>
      <w:r w:rsidR="00AC3878">
        <w:rPr>
          <w:rFonts w:ascii="Verdana" w:hAnsi="Verdana"/>
          <w:bCs/>
          <w:lang w:val="es-CL"/>
        </w:rPr>
        <w:t xml:space="preserve">reemplaza </w:t>
      </w:r>
      <w:r>
        <w:rPr>
          <w:rFonts w:ascii="Verdana" w:hAnsi="Verdana"/>
          <w:bCs/>
          <w:lang w:val="es-CL"/>
        </w:rPr>
        <w:t xml:space="preserve">en el artículo 2.3.1. </w:t>
      </w:r>
      <w:r w:rsidR="00AC3878">
        <w:rPr>
          <w:rFonts w:ascii="Verdana" w:hAnsi="Verdana"/>
          <w:bCs/>
          <w:lang w:val="es-CL"/>
        </w:rPr>
        <w:t xml:space="preserve">el concepto de </w:t>
      </w:r>
      <w:r>
        <w:rPr>
          <w:rFonts w:ascii="Verdana" w:hAnsi="Verdana"/>
          <w:bCs/>
          <w:lang w:val="es-CL"/>
        </w:rPr>
        <w:t>red vial pública por red vial estructurante</w:t>
      </w:r>
      <w:r w:rsidR="00AC3878">
        <w:rPr>
          <w:rFonts w:ascii="Verdana" w:hAnsi="Verdana"/>
          <w:bCs/>
          <w:lang w:val="es-CL"/>
        </w:rPr>
        <w:t xml:space="preserve"> por dos razones</w:t>
      </w:r>
      <w:r>
        <w:rPr>
          <w:rFonts w:ascii="Verdana" w:hAnsi="Verdana"/>
          <w:bCs/>
          <w:lang w:val="es-CL"/>
        </w:rPr>
        <w:t>.</w:t>
      </w:r>
      <w:r w:rsidR="00AC3878">
        <w:rPr>
          <w:rFonts w:ascii="Verdana" w:hAnsi="Verdana"/>
          <w:bCs/>
          <w:lang w:val="es-CL"/>
        </w:rPr>
        <w:t xml:space="preserve"> La primera de ellas es que la red que definen los IPT</w:t>
      </w:r>
      <w:r w:rsidR="00EC7040">
        <w:rPr>
          <w:rFonts w:ascii="Verdana" w:hAnsi="Verdana"/>
          <w:bCs/>
          <w:lang w:val="es-CL"/>
        </w:rPr>
        <w:t>, de acuerdo al mismo artículo,</w:t>
      </w:r>
      <w:r w:rsidR="00AC3878">
        <w:rPr>
          <w:rFonts w:ascii="Verdana" w:hAnsi="Verdana"/>
          <w:bCs/>
          <w:lang w:val="es-CL"/>
        </w:rPr>
        <w:t xml:space="preserve"> no solo es la existente, sino también la proyectada</w:t>
      </w:r>
      <w:r w:rsidR="00EC7040">
        <w:rPr>
          <w:rFonts w:ascii="Verdana" w:hAnsi="Verdana"/>
          <w:bCs/>
          <w:lang w:val="es-CL"/>
        </w:rPr>
        <w:t xml:space="preserve">. La segunda, tiene relación con lo anterior, en el sentido que en el artículo 1.1.2. no está definido el vocablo </w:t>
      </w:r>
      <w:r w:rsidR="00EC7040" w:rsidRPr="00EC7040">
        <w:rPr>
          <w:rFonts w:ascii="Verdana" w:hAnsi="Verdana"/>
          <w:bCs/>
          <w:i/>
          <w:lang w:val="es-CL"/>
        </w:rPr>
        <w:t>“red vial pública”</w:t>
      </w:r>
      <w:r w:rsidR="00EC7040">
        <w:rPr>
          <w:rFonts w:ascii="Verdana" w:hAnsi="Verdana"/>
          <w:bCs/>
          <w:lang w:val="es-CL"/>
        </w:rPr>
        <w:t xml:space="preserve"> y sí lo está la </w:t>
      </w:r>
      <w:r w:rsidR="00EC7040" w:rsidRPr="00EC7040">
        <w:rPr>
          <w:rFonts w:ascii="Verdana" w:hAnsi="Verdana"/>
          <w:bCs/>
          <w:i/>
          <w:lang w:val="es-CL"/>
        </w:rPr>
        <w:t>“red vial estructurante”</w:t>
      </w:r>
      <w:r w:rsidR="00EC7040">
        <w:rPr>
          <w:rFonts w:ascii="Verdana" w:hAnsi="Verdana"/>
          <w:bCs/>
          <w:i/>
          <w:lang w:val="es-CL"/>
        </w:rPr>
        <w:t>,</w:t>
      </w:r>
      <w:r w:rsidR="00EC7040">
        <w:rPr>
          <w:rFonts w:ascii="Verdana" w:hAnsi="Verdana"/>
          <w:bCs/>
          <w:lang w:val="es-CL"/>
        </w:rPr>
        <w:t xml:space="preserve"> que coincide con el propósito contenido en el artículo 2.3.1. de abordar ambos tipos de vías.</w:t>
      </w:r>
    </w:p>
    <w:p w14:paraId="1840A30D" w14:textId="2CC418DD" w:rsidR="00C121D6" w:rsidRDefault="00816D1E" w:rsidP="005B46F6">
      <w:pPr>
        <w:spacing w:before="120" w:after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Se modifica </w:t>
      </w:r>
      <w:r w:rsidR="00C121D6">
        <w:rPr>
          <w:rFonts w:ascii="Verdana" w:hAnsi="Verdana"/>
          <w:bCs/>
        </w:rPr>
        <w:t xml:space="preserve">el </w:t>
      </w:r>
      <w:r>
        <w:rPr>
          <w:rFonts w:ascii="Verdana" w:hAnsi="Verdana"/>
          <w:bCs/>
        </w:rPr>
        <w:t xml:space="preserve">artículo 2.4.1., </w:t>
      </w:r>
      <w:r w:rsidR="00C121D6">
        <w:rPr>
          <w:rFonts w:ascii="Verdana" w:hAnsi="Verdana"/>
          <w:bCs/>
        </w:rPr>
        <w:t xml:space="preserve">reemplazando </w:t>
      </w:r>
      <w:r>
        <w:rPr>
          <w:rFonts w:ascii="Verdana" w:hAnsi="Verdana"/>
          <w:bCs/>
        </w:rPr>
        <w:t xml:space="preserve">el concepto de </w:t>
      </w:r>
      <w:r w:rsidR="00C121D6">
        <w:rPr>
          <w:rFonts w:ascii="Verdana" w:hAnsi="Verdana"/>
          <w:bCs/>
        </w:rPr>
        <w:t>“</w:t>
      </w:r>
      <w:r>
        <w:rPr>
          <w:rFonts w:ascii="Verdana" w:hAnsi="Verdana"/>
          <w:bCs/>
        </w:rPr>
        <w:t xml:space="preserve">dotación </w:t>
      </w:r>
      <w:r w:rsidR="00C121D6">
        <w:rPr>
          <w:rFonts w:ascii="Verdana" w:hAnsi="Verdana"/>
          <w:bCs/>
        </w:rPr>
        <w:t>mínima”</w:t>
      </w:r>
      <w:r>
        <w:rPr>
          <w:rFonts w:ascii="Verdana" w:hAnsi="Verdana"/>
          <w:bCs/>
        </w:rPr>
        <w:t xml:space="preserve"> de estacionamientos,</w:t>
      </w:r>
      <w:r w:rsidR="00C121D6">
        <w:rPr>
          <w:rFonts w:ascii="Verdana" w:hAnsi="Verdana"/>
          <w:bCs/>
        </w:rPr>
        <w:t xml:space="preserve"> por el de “dotación”.</w:t>
      </w:r>
    </w:p>
    <w:p w14:paraId="46506A5F" w14:textId="7ED6F939" w:rsidR="00AA3A90" w:rsidRDefault="00C121D6" w:rsidP="005B46F6">
      <w:pPr>
        <w:spacing w:before="120" w:after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Se modifica el artículo 2.4.2, e</w:t>
      </w:r>
      <w:r w:rsidR="001D566B">
        <w:rPr>
          <w:rFonts w:ascii="Verdana" w:hAnsi="Verdana"/>
          <w:bCs/>
        </w:rPr>
        <w:t>stablec</w:t>
      </w:r>
      <w:r>
        <w:rPr>
          <w:rFonts w:ascii="Verdana" w:hAnsi="Verdana"/>
          <w:bCs/>
        </w:rPr>
        <w:t>iendo</w:t>
      </w:r>
      <w:r w:rsidR="001D566B">
        <w:rPr>
          <w:rFonts w:ascii="Verdana" w:hAnsi="Verdana"/>
          <w:bCs/>
        </w:rPr>
        <w:t xml:space="preserve"> el requerimiento</w:t>
      </w:r>
      <w:r w:rsidR="00816D1E">
        <w:rPr>
          <w:rFonts w:ascii="Verdana" w:hAnsi="Verdana"/>
          <w:bCs/>
        </w:rPr>
        <w:t xml:space="preserve"> de solicitud fundada para la rebaja de estacionamientos y precisa cumplimiento de la dotación de estacionamientos en otras edificaciones en el subsuelo del espacio público</w:t>
      </w:r>
      <w:r w:rsidR="00EC7040">
        <w:rPr>
          <w:rFonts w:ascii="Verdana" w:hAnsi="Verdana"/>
          <w:bCs/>
        </w:rPr>
        <w:t>, dado que sería la única circunstancia posible de darse en que no se trate de un predio</w:t>
      </w:r>
      <w:r w:rsidR="00816D1E">
        <w:rPr>
          <w:rFonts w:ascii="Verdana" w:hAnsi="Verdana"/>
          <w:bCs/>
        </w:rPr>
        <w:t>.</w:t>
      </w:r>
      <w:r w:rsidR="001D566B">
        <w:rPr>
          <w:rFonts w:ascii="Verdana" w:hAnsi="Verdana"/>
          <w:bCs/>
        </w:rPr>
        <w:t xml:space="preserve"> En el artículo 2.4.5. se </w:t>
      </w:r>
      <w:r w:rsidR="00B50959">
        <w:rPr>
          <w:rFonts w:ascii="Verdana" w:hAnsi="Verdana"/>
          <w:bCs/>
        </w:rPr>
        <w:t>delimitan</w:t>
      </w:r>
      <w:r w:rsidR="001D566B">
        <w:rPr>
          <w:rFonts w:ascii="Verdana" w:hAnsi="Verdana"/>
          <w:bCs/>
        </w:rPr>
        <w:t xml:space="preserve"> </w:t>
      </w:r>
      <w:r w:rsidR="00D63036">
        <w:rPr>
          <w:rFonts w:ascii="Verdana" w:hAnsi="Verdana"/>
          <w:bCs/>
        </w:rPr>
        <w:t>los</w:t>
      </w:r>
      <w:r w:rsidR="001D566B">
        <w:rPr>
          <w:rFonts w:ascii="Verdana" w:hAnsi="Verdana"/>
          <w:bCs/>
        </w:rPr>
        <w:t xml:space="preserve"> accesos y salidas </w:t>
      </w:r>
      <w:r w:rsidR="008277C6">
        <w:rPr>
          <w:rFonts w:ascii="Verdana" w:hAnsi="Verdana"/>
          <w:bCs/>
        </w:rPr>
        <w:t>en los casos que un proyecto enfrente dos o más vías.</w:t>
      </w:r>
    </w:p>
    <w:p w14:paraId="160D8685" w14:textId="1823E8FC" w:rsidR="00EC7040" w:rsidRDefault="00393B19" w:rsidP="005B46F6">
      <w:pPr>
        <w:spacing w:before="120" w:after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Se precisa en el artículo 2.6.3. la aplicación de la</w:t>
      </w:r>
      <w:r w:rsidR="001D566B">
        <w:rPr>
          <w:rFonts w:ascii="Verdana" w:hAnsi="Verdana"/>
          <w:bCs/>
        </w:rPr>
        <w:t xml:space="preserve"> rasante en relación con la profundidad de la edificación continua</w:t>
      </w:r>
      <w:r w:rsidR="0011415F">
        <w:rPr>
          <w:rFonts w:ascii="Verdana" w:hAnsi="Verdana"/>
          <w:bCs/>
        </w:rPr>
        <w:t xml:space="preserve">, y se precisa la aplicación del inciso 20 del mismo artículo, relativo a </w:t>
      </w:r>
      <w:r w:rsidR="0011415F" w:rsidRPr="0011415F">
        <w:rPr>
          <w:rFonts w:ascii="Verdana" w:hAnsi="Verdana"/>
          <w:bCs/>
        </w:rPr>
        <w:t xml:space="preserve">elementos exteriores ubicados en la parte superior de </w:t>
      </w:r>
      <w:r w:rsidR="0011415F">
        <w:rPr>
          <w:rFonts w:ascii="Verdana" w:hAnsi="Verdana"/>
          <w:bCs/>
        </w:rPr>
        <w:t>los edificios.</w:t>
      </w:r>
      <w:r w:rsidR="001D566B">
        <w:rPr>
          <w:rFonts w:ascii="Verdana" w:hAnsi="Verdana"/>
          <w:bCs/>
        </w:rPr>
        <w:t xml:space="preserve"> </w:t>
      </w:r>
      <w:r w:rsidR="00EC7040">
        <w:rPr>
          <w:rFonts w:ascii="Verdana" w:hAnsi="Verdana"/>
          <w:bCs/>
        </w:rPr>
        <w:t>En tal sentido, se pretende, junto con resguardar en primer término que las excepciones para sobrepasar la altura máxima de edificación, sean precisamente eso: excepciones</w:t>
      </w:r>
      <w:r w:rsidR="00886199">
        <w:rPr>
          <w:rFonts w:ascii="Verdana" w:hAnsi="Verdana"/>
          <w:bCs/>
        </w:rPr>
        <w:t xml:space="preserve"> que no desnaturalicen la norma que en tal sentido establezca el PRC</w:t>
      </w:r>
      <w:r w:rsidR="00EC7040">
        <w:rPr>
          <w:rFonts w:ascii="Verdana" w:hAnsi="Verdana"/>
          <w:bCs/>
        </w:rPr>
        <w:t xml:space="preserve">, no </w:t>
      </w:r>
      <w:r w:rsidR="00886199">
        <w:rPr>
          <w:rFonts w:ascii="Verdana" w:hAnsi="Verdana"/>
          <w:bCs/>
        </w:rPr>
        <w:t>obstaculizar la ocupación de la parte superior de los edificios, ni tampoco limitar las posibilidades de diseño de dicha planta, como “quinta fachada”.</w:t>
      </w:r>
    </w:p>
    <w:p w14:paraId="1FEE6526" w14:textId="3259DC36" w:rsidR="001D566B" w:rsidRDefault="001D566B" w:rsidP="005B46F6">
      <w:pPr>
        <w:spacing w:before="120" w:after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En el artículo 2.6.11. se elimina inciso que limitaba revisión del Director de Obras Municipales de cálculos de sombras y se </w:t>
      </w:r>
      <w:r w:rsidR="006F5435">
        <w:rPr>
          <w:rFonts w:ascii="Verdana" w:hAnsi="Verdana"/>
          <w:bCs/>
        </w:rPr>
        <w:t xml:space="preserve">incorpora la verificación de los cálculos , </w:t>
      </w:r>
      <w:r w:rsidR="00886199">
        <w:rPr>
          <w:rFonts w:ascii="Verdana" w:hAnsi="Verdana"/>
          <w:bCs/>
        </w:rPr>
        <w:t>en tanto involucran</w:t>
      </w:r>
      <w:r>
        <w:rPr>
          <w:rFonts w:ascii="Verdana" w:hAnsi="Verdana"/>
          <w:bCs/>
        </w:rPr>
        <w:t xml:space="preserve"> normas urbanísticas.</w:t>
      </w:r>
    </w:p>
    <w:p w14:paraId="17AB2B90" w14:textId="319904BB" w:rsidR="00221877" w:rsidRDefault="00221877" w:rsidP="005B46F6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En el Título 3</w:t>
      </w:r>
      <w:r w:rsidR="00A470D7">
        <w:rPr>
          <w:rFonts w:ascii="Verdana" w:hAnsi="Verdana"/>
          <w:bCs/>
          <w:lang w:val="es-ES_tradnl"/>
        </w:rPr>
        <w:t xml:space="preserve">, Capítulo 1 , </w:t>
      </w:r>
      <w:r>
        <w:rPr>
          <w:rFonts w:ascii="Verdana" w:hAnsi="Verdana"/>
          <w:bCs/>
          <w:lang w:val="es-ES_tradnl"/>
        </w:rPr>
        <w:t>se modifica</w:t>
      </w:r>
      <w:r w:rsidR="001D566B">
        <w:rPr>
          <w:rFonts w:ascii="Verdana" w:hAnsi="Verdana"/>
          <w:bCs/>
          <w:lang w:val="es-ES_tradnl"/>
        </w:rPr>
        <w:t xml:space="preserve"> </w:t>
      </w:r>
      <w:r w:rsidR="00A470D7">
        <w:rPr>
          <w:rFonts w:ascii="Verdana" w:hAnsi="Verdana"/>
          <w:bCs/>
          <w:lang w:val="es-ES_tradnl"/>
        </w:rPr>
        <w:t xml:space="preserve">el </w:t>
      </w:r>
      <w:r w:rsidR="001D566B">
        <w:rPr>
          <w:rFonts w:ascii="Verdana" w:hAnsi="Verdana"/>
          <w:bCs/>
          <w:lang w:val="es-ES_tradnl"/>
        </w:rPr>
        <w:t>artículo 3.1.2.</w:t>
      </w:r>
      <w:r>
        <w:rPr>
          <w:rFonts w:ascii="Verdana" w:hAnsi="Verdana"/>
          <w:bCs/>
          <w:lang w:val="es-ES_tradnl"/>
        </w:rPr>
        <w:t xml:space="preserve">, </w:t>
      </w:r>
      <w:r w:rsidR="002F3F66">
        <w:rPr>
          <w:rFonts w:ascii="Verdana" w:hAnsi="Verdana"/>
          <w:bCs/>
          <w:lang w:val="es-ES_tradnl"/>
        </w:rPr>
        <w:t>sobre</w:t>
      </w:r>
      <w:r>
        <w:rPr>
          <w:rFonts w:ascii="Verdana" w:hAnsi="Verdana"/>
          <w:bCs/>
          <w:lang w:val="es-ES_tradnl"/>
        </w:rPr>
        <w:t xml:space="preserve"> las competencias de los Directores de Obras Municipales de acuerdo a la Ley N°20.016, referidas a que solo revisan normas urbanísticas en las solicitudes de </w:t>
      </w:r>
      <w:r w:rsidR="002F3F66">
        <w:rPr>
          <w:rFonts w:ascii="Verdana" w:hAnsi="Verdana"/>
          <w:bCs/>
          <w:lang w:val="es-ES_tradnl"/>
        </w:rPr>
        <w:t>permiso de subdivisión</w:t>
      </w:r>
      <w:r>
        <w:rPr>
          <w:rFonts w:ascii="Verdana" w:hAnsi="Verdana"/>
          <w:bCs/>
          <w:lang w:val="es-ES_tradnl"/>
        </w:rPr>
        <w:t>.</w:t>
      </w:r>
    </w:p>
    <w:p w14:paraId="1CB2F51A" w14:textId="7D1DB362" w:rsidR="00EA5729" w:rsidRDefault="00EA5729" w:rsidP="005B46F6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Re</w:t>
      </w:r>
      <w:bookmarkStart w:id="0" w:name="_GoBack"/>
      <w:bookmarkEnd w:id="0"/>
      <w:r>
        <w:rPr>
          <w:rFonts w:ascii="Verdana" w:hAnsi="Verdana"/>
          <w:bCs/>
          <w:lang w:val="es-ES_tradnl"/>
        </w:rPr>
        <w:t xml:space="preserve">specto del Título 5, </w:t>
      </w:r>
      <w:r w:rsidR="00293C53">
        <w:rPr>
          <w:rFonts w:ascii="Verdana" w:hAnsi="Verdana"/>
          <w:bCs/>
          <w:lang w:val="es-ES_tradnl"/>
        </w:rPr>
        <w:t xml:space="preserve">Capítulo 1, </w:t>
      </w:r>
      <w:r>
        <w:rPr>
          <w:rFonts w:ascii="Verdana" w:hAnsi="Verdana"/>
          <w:bCs/>
          <w:lang w:val="es-ES_tradnl"/>
        </w:rPr>
        <w:t>se modifica</w:t>
      </w:r>
      <w:r w:rsidR="00293C53">
        <w:rPr>
          <w:rFonts w:ascii="Verdana" w:hAnsi="Verdana"/>
          <w:bCs/>
          <w:lang w:val="es-ES_tradnl"/>
        </w:rPr>
        <w:t xml:space="preserve"> </w:t>
      </w:r>
      <w:r w:rsidR="002F3F66">
        <w:rPr>
          <w:rFonts w:ascii="Verdana" w:hAnsi="Verdana"/>
          <w:bCs/>
          <w:lang w:val="es-ES_tradnl"/>
        </w:rPr>
        <w:t>el</w:t>
      </w:r>
      <w:r>
        <w:rPr>
          <w:rFonts w:ascii="Verdana" w:hAnsi="Verdana"/>
          <w:bCs/>
          <w:lang w:val="es-ES_tradnl"/>
        </w:rPr>
        <w:t xml:space="preserve"> </w:t>
      </w:r>
      <w:r w:rsidR="002F3F66">
        <w:rPr>
          <w:rFonts w:ascii="Verdana" w:hAnsi="Verdana"/>
          <w:bCs/>
          <w:lang w:val="es-ES_tradnl"/>
        </w:rPr>
        <w:t>artículo 5.1.12. precisando la aplicación de</w:t>
      </w:r>
      <w:r w:rsidR="00E73B19">
        <w:rPr>
          <w:rFonts w:ascii="Verdana" w:hAnsi="Verdana"/>
          <w:bCs/>
          <w:lang w:val="es-ES_tradnl"/>
        </w:rPr>
        <w:t xml:space="preserve"> </w:t>
      </w:r>
      <w:r w:rsidR="002F3F66">
        <w:rPr>
          <w:rFonts w:ascii="Verdana" w:hAnsi="Verdana"/>
          <w:bCs/>
          <w:lang w:val="es-ES_tradnl"/>
        </w:rPr>
        <w:t>l</w:t>
      </w:r>
      <w:r w:rsidR="00E73B19">
        <w:rPr>
          <w:rFonts w:ascii="Verdana" w:hAnsi="Verdana"/>
          <w:bCs/>
          <w:lang w:val="es-ES_tradnl"/>
        </w:rPr>
        <w:t>a norma urbanística</w:t>
      </w:r>
      <w:r w:rsidR="002F3F66">
        <w:rPr>
          <w:rFonts w:ascii="Verdana" w:hAnsi="Verdana"/>
          <w:bCs/>
          <w:lang w:val="es-ES_tradnl"/>
        </w:rPr>
        <w:t xml:space="preserve"> </w:t>
      </w:r>
      <w:r w:rsidR="00E55E9E">
        <w:rPr>
          <w:rFonts w:ascii="Verdana" w:hAnsi="Verdana"/>
          <w:bCs/>
          <w:lang w:val="es-ES_tradnl"/>
        </w:rPr>
        <w:t>“</w:t>
      </w:r>
      <w:r w:rsidR="002F3F66">
        <w:rPr>
          <w:rFonts w:ascii="Verdana" w:hAnsi="Verdana"/>
          <w:bCs/>
          <w:lang w:val="es-ES_tradnl"/>
        </w:rPr>
        <w:t>coeficiente de constructibilidad</w:t>
      </w:r>
      <w:r w:rsidR="00E55E9E">
        <w:rPr>
          <w:rFonts w:ascii="Verdana" w:hAnsi="Verdana"/>
          <w:bCs/>
          <w:lang w:val="es-ES_tradnl"/>
        </w:rPr>
        <w:t>”</w:t>
      </w:r>
      <w:r w:rsidR="00E73B19">
        <w:rPr>
          <w:rFonts w:ascii="Verdana" w:hAnsi="Verdana"/>
          <w:bCs/>
          <w:lang w:val="es-ES_tradnl"/>
        </w:rPr>
        <w:t xml:space="preserve"> </w:t>
      </w:r>
      <w:r w:rsidR="00886199">
        <w:rPr>
          <w:rFonts w:ascii="Verdana" w:hAnsi="Verdana"/>
          <w:bCs/>
          <w:lang w:val="es-ES_tradnl"/>
        </w:rPr>
        <w:t xml:space="preserve">tanto </w:t>
      </w:r>
      <w:r w:rsidR="00E73B19">
        <w:rPr>
          <w:rFonts w:ascii="Verdana" w:hAnsi="Verdana"/>
          <w:bCs/>
          <w:lang w:val="es-ES_tradnl"/>
        </w:rPr>
        <w:t>en pisos superiores como en el subterráneo</w:t>
      </w:r>
      <w:r>
        <w:rPr>
          <w:rFonts w:ascii="Verdana" w:hAnsi="Verdana"/>
          <w:bCs/>
          <w:lang w:val="es-ES_tradnl"/>
        </w:rPr>
        <w:t xml:space="preserve">, </w:t>
      </w:r>
      <w:r w:rsidR="00E55E9E">
        <w:rPr>
          <w:rFonts w:ascii="Verdana" w:hAnsi="Verdana"/>
          <w:bCs/>
          <w:lang w:val="es-ES_tradnl"/>
        </w:rPr>
        <w:t>salvo aquellas que son complementarias y necesarias para el funcionamiento del o los destinos de la edificación, en el entendido que dicha norma urbanística trata de la intensidad de ocupación del suelo que deben prever los IPT</w:t>
      </w:r>
      <w:r>
        <w:rPr>
          <w:rFonts w:ascii="Verdana" w:hAnsi="Verdana"/>
          <w:bCs/>
          <w:lang w:val="es-ES_tradnl"/>
        </w:rPr>
        <w:t>.</w:t>
      </w:r>
      <w:r w:rsidR="00E55E9E">
        <w:rPr>
          <w:rFonts w:ascii="Verdana" w:hAnsi="Verdana"/>
          <w:bCs/>
          <w:lang w:val="es-ES_tradnl"/>
        </w:rPr>
        <w:t xml:space="preserve"> Este cambio también se ve reflejado en el cambio de la definición de tal </w:t>
      </w:r>
      <w:r w:rsidR="00293C53">
        <w:rPr>
          <w:rFonts w:ascii="Verdana" w:hAnsi="Verdana"/>
          <w:bCs/>
          <w:lang w:val="es-ES_tradnl"/>
        </w:rPr>
        <w:t>vocablo</w:t>
      </w:r>
      <w:r w:rsidR="00E55E9E">
        <w:rPr>
          <w:rFonts w:ascii="Verdana" w:hAnsi="Verdana"/>
          <w:bCs/>
          <w:lang w:val="es-ES_tradnl"/>
        </w:rPr>
        <w:t xml:space="preserve"> en el artículo 1.1.2.</w:t>
      </w:r>
    </w:p>
    <w:p w14:paraId="1871AC5B" w14:textId="77777777" w:rsidR="00EA5729" w:rsidRPr="00CC25B0" w:rsidRDefault="00EA5729" w:rsidP="005B46F6">
      <w:pPr>
        <w:spacing w:before="120" w:after="0"/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es-ES_tradnl"/>
        </w:rPr>
        <w:t xml:space="preserve"> </w:t>
      </w:r>
    </w:p>
    <w:p w14:paraId="7C0FE124" w14:textId="1CA858E7" w:rsidR="000E07AF" w:rsidRPr="00645B36" w:rsidRDefault="00CC25B0" w:rsidP="00432575">
      <w:pPr>
        <w:spacing w:before="120" w:after="0"/>
        <w:ind w:left="2127" w:hanging="156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 </w:t>
      </w:r>
      <w:r w:rsidR="004E4D98">
        <w:rPr>
          <w:rFonts w:ascii="Verdana" w:hAnsi="Verdana"/>
          <w:bCs/>
          <w:lang w:val="es-ES_tradnl"/>
        </w:rPr>
        <w:t xml:space="preserve"> </w:t>
      </w:r>
    </w:p>
    <w:sectPr w:rsidR="000E07AF" w:rsidRPr="00645B36" w:rsidSect="00432575">
      <w:headerReference w:type="default" r:id="rId9"/>
      <w:footerReference w:type="default" r:id="rId10"/>
      <w:pgSz w:w="12240" w:h="18720" w:code="14"/>
      <w:pgMar w:top="63" w:right="1701" w:bottom="709" w:left="1701" w:header="708" w:footer="5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3D0F7A" w15:done="0"/>
  <w15:commentEx w15:paraId="2987764A" w15:done="0"/>
  <w15:commentEx w15:paraId="4CD1CCD9" w15:done="0"/>
  <w15:commentEx w15:paraId="27AC84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2BED8" w14:textId="77777777" w:rsidR="00E7329A" w:rsidRDefault="00E7329A" w:rsidP="000E07AF">
      <w:pPr>
        <w:spacing w:after="0" w:line="240" w:lineRule="auto"/>
      </w:pPr>
      <w:r>
        <w:separator/>
      </w:r>
    </w:p>
  </w:endnote>
  <w:endnote w:type="continuationSeparator" w:id="0">
    <w:p w14:paraId="4DE0F03D" w14:textId="77777777" w:rsidR="00E7329A" w:rsidRDefault="00E7329A" w:rsidP="000E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100767159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2418A798" w14:textId="5797B38D" w:rsidR="00F43116" w:rsidRPr="00432575" w:rsidRDefault="00F43116" w:rsidP="00432575">
        <w:pPr>
          <w:pStyle w:val="Piedepgina"/>
          <w:jc w:val="right"/>
          <w:rPr>
            <w:rFonts w:ascii="Verdana" w:hAnsi="Verdana"/>
            <w:sz w:val="16"/>
            <w:szCs w:val="16"/>
          </w:rPr>
        </w:pPr>
        <w:r w:rsidRPr="00432575">
          <w:rPr>
            <w:rFonts w:ascii="Verdana" w:hAnsi="Verdana"/>
            <w:sz w:val="16"/>
            <w:szCs w:val="16"/>
          </w:rPr>
          <w:fldChar w:fldCharType="begin"/>
        </w:r>
        <w:r w:rsidRPr="00432575">
          <w:rPr>
            <w:rFonts w:ascii="Verdana" w:hAnsi="Verdana"/>
            <w:sz w:val="16"/>
            <w:szCs w:val="16"/>
          </w:rPr>
          <w:instrText>PAGE   \* MERGEFORMAT</w:instrText>
        </w:r>
        <w:r w:rsidRPr="00432575">
          <w:rPr>
            <w:rFonts w:ascii="Verdana" w:hAnsi="Verdana"/>
            <w:sz w:val="16"/>
            <w:szCs w:val="16"/>
          </w:rPr>
          <w:fldChar w:fldCharType="separate"/>
        </w:r>
        <w:r w:rsidR="00E7329A">
          <w:rPr>
            <w:rFonts w:ascii="Verdana" w:hAnsi="Verdana"/>
            <w:noProof/>
            <w:sz w:val="16"/>
            <w:szCs w:val="16"/>
          </w:rPr>
          <w:t>1</w:t>
        </w:r>
        <w:r w:rsidRPr="00432575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1E15D" w14:textId="77777777" w:rsidR="00E7329A" w:rsidRDefault="00E7329A" w:rsidP="000E07AF">
      <w:pPr>
        <w:spacing w:after="0" w:line="240" w:lineRule="auto"/>
      </w:pPr>
      <w:r>
        <w:separator/>
      </w:r>
    </w:p>
  </w:footnote>
  <w:footnote w:type="continuationSeparator" w:id="0">
    <w:p w14:paraId="27F8A56C" w14:textId="77777777" w:rsidR="00E7329A" w:rsidRDefault="00E7329A" w:rsidP="000E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6974C" w14:textId="77777777" w:rsidR="00F43116" w:rsidRPr="009565B8" w:rsidRDefault="00F43116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45887853" wp14:editId="1F7CE477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923925" cy="923925"/>
          <wp:effectExtent l="0" t="0" r="9525" b="9525"/>
          <wp:wrapNone/>
          <wp:docPr id="1" name="Imagen 1" descr="vivienda-y-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vivienda-y-urban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t xml:space="preserve"> </w:t>
    </w:r>
    <w:r>
      <w:rPr>
        <w:noProof/>
        <w:lang w:eastAsia="es-ES"/>
      </w:rPr>
      <w:tab/>
    </w:r>
    <w:r w:rsidRPr="009565B8">
      <w:rPr>
        <w:rStyle w:val="nfasis"/>
        <w:rFonts w:ascii="Arial" w:hAnsi="Arial" w:cs="Arial"/>
        <w:i w:val="0"/>
        <w:sz w:val="16"/>
        <w:szCs w:val="16"/>
      </w:rPr>
      <w:t>Ministerio de Vivienda y Urbanismo</w:t>
    </w:r>
  </w:p>
  <w:p w14:paraId="7A571F6A" w14:textId="77777777" w:rsidR="00F43116" w:rsidRPr="009565B8" w:rsidRDefault="00F43116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 w:rsidRPr="009565B8">
      <w:rPr>
        <w:rStyle w:val="nfasis"/>
        <w:rFonts w:ascii="Arial" w:hAnsi="Arial" w:cs="Arial"/>
        <w:i w:val="0"/>
        <w:sz w:val="16"/>
        <w:szCs w:val="16"/>
      </w:rPr>
      <w:t>División de Desarrollo Urbano</w:t>
    </w:r>
  </w:p>
  <w:p w14:paraId="7B5D196B" w14:textId="77777777" w:rsidR="00F43116" w:rsidRDefault="00F43116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>
      <w:rPr>
        <w:rStyle w:val="nfasis"/>
        <w:rFonts w:ascii="Arial" w:hAnsi="Arial" w:cs="Arial"/>
        <w:i w:val="0"/>
        <w:sz w:val="16"/>
        <w:szCs w:val="16"/>
      </w:rPr>
      <w:t>Septiembre</w:t>
    </w:r>
    <w:r w:rsidRPr="009565B8">
      <w:rPr>
        <w:rStyle w:val="nfasis"/>
        <w:rFonts w:ascii="Arial" w:hAnsi="Arial" w:cs="Arial"/>
        <w:i w:val="0"/>
        <w:sz w:val="16"/>
        <w:szCs w:val="16"/>
      </w:rPr>
      <w:t>. 201</w:t>
    </w:r>
    <w:r>
      <w:rPr>
        <w:rStyle w:val="nfasis"/>
        <w:rFonts w:ascii="Arial" w:hAnsi="Arial" w:cs="Arial"/>
        <w:i w:val="0"/>
        <w:sz w:val="16"/>
        <w:szCs w:val="16"/>
      </w:rPr>
      <w:t>7</w:t>
    </w:r>
  </w:p>
  <w:p w14:paraId="3DA51E13" w14:textId="77777777" w:rsidR="00F43116" w:rsidRPr="009565B8" w:rsidRDefault="00F43116" w:rsidP="004E0192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</w:p>
  <w:p w14:paraId="027F90A7" w14:textId="77777777" w:rsidR="00F43116" w:rsidRDefault="00F43116">
    <w:pPr>
      <w:pStyle w:val="Encabezado"/>
    </w:pPr>
  </w:p>
  <w:p w14:paraId="72DD10A9" w14:textId="77777777" w:rsidR="00F43116" w:rsidRDefault="00F43116">
    <w:pPr>
      <w:pStyle w:val="Encabezado"/>
    </w:pPr>
  </w:p>
  <w:p w14:paraId="25D513DE" w14:textId="77777777" w:rsidR="00F43116" w:rsidRDefault="00F431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AF8"/>
    <w:multiLevelType w:val="hybridMultilevel"/>
    <w:tmpl w:val="C3ECB06A"/>
    <w:lvl w:ilvl="0" w:tplc="7B32B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47C7"/>
    <w:multiLevelType w:val="hybridMultilevel"/>
    <w:tmpl w:val="B6BA8A96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AD3F9F"/>
    <w:multiLevelType w:val="multilevel"/>
    <w:tmpl w:val="CCCAE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DE2473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77A47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90BB0"/>
    <w:multiLevelType w:val="hybridMultilevel"/>
    <w:tmpl w:val="153AA6C4"/>
    <w:lvl w:ilvl="0" w:tplc="1A0C7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E9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06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A6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E5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08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4A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23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E6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C72B31"/>
    <w:multiLevelType w:val="hybridMultilevel"/>
    <w:tmpl w:val="7F9E2E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B54D1"/>
    <w:multiLevelType w:val="hybridMultilevel"/>
    <w:tmpl w:val="1576BA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81FEB"/>
    <w:multiLevelType w:val="hybridMultilevel"/>
    <w:tmpl w:val="762E379C"/>
    <w:lvl w:ilvl="0" w:tplc="BC244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0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81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8F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6C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01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0E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EC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C2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4F91DD0"/>
    <w:multiLevelType w:val="hybridMultilevel"/>
    <w:tmpl w:val="FDCE8700"/>
    <w:lvl w:ilvl="0" w:tplc="340A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10">
    <w:nsid w:val="68F30DC4"/>
    <w:multiLevelType w:val="hybridMultilevel"/>
    <w:tmpl w:val="8FC2A836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6D187E6F"/>
    <w:multiLevelType w:val="hybridMultilevel"/>
    <w:tmpl w:val="6FA23586"/>
    <w:lvl w:ilvl="0" w:tplc="A5F2D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88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04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28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40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0A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E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EF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8D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1C148CD"/>
    <w:multiLevelType w:val="hybridMultilevel"/>
    <w:tmpl w:val="98C8C450"/>
    <w:lvl w:ilvl="0" w:tplc="FD1A872A">
      <w:numFmt w:val="bullet"/>
      <w:lvlText w:val="-"/>
      <w:lvlJc w:val="left"/>
      <w:pPr>
        <w:ind w:left="1996" w:hanging="360"/>
      </w:pPr>
      <w:rPr>
        <w:rFonts w:ascii="Verdana" w:hAnsi="Verdana" w:cs="Arial" w:hint="default"/>
        <w:b w:val="0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95E5A1C"/>
    <w:multiLevelType w:val="hybridMultilevel"/>
    <w:tmpl w:val="20F810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B40D7"/>
    <w:multiLevelType w:val="hybridMultilevel"/>
    <w:tmpl w:val="92822D0E"/>
    <w:lvl w:ilvl="0" w:tplc="E15C3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CC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48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C1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0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43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E6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27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C3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1"/>
  </w:num>
  <w:num w:numId="11">
    <w:abstractNumId w:val="14"/>
  </w:num>
  <w:num w:numId="12">
    <w:abstractNumId w:val="11"/>
  </w:num>
  <w:num w:numId="13">
    <w:abstractNumId w:val="5"/>
  </w:num>
  <w:num w:numId="14">
    <w:abstractNumId w:val="6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rsula Gavilan Gutierrez">
    <w15:presenceInfo w15:providerId="AD" w15:userId="S-1-5-21-2098021264-696980182-1749447093-54122"/>
  </w15:person>
  <w15:person w15:author="División de Desarrollo Urbano">
    <w15:presenceInfo w15:providerId="None" w15:userId="División de Desarrollo Urb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AF"/>
    <w:rsid w:val="00001B28"/>
    <w:rsid w:val="0000208B"/>
    <w:rsid w:val="00006A2E"/>
    <w:rsid w:val="0004450F"/>
    <w:rsid w:val="0005105B"/>
    <w:rsid w:val="000660C5"/>
    <w:rsid w:val="00070DA3"/>
    <w:rsid w:val="000B6B19"/>
    <w:rsid w:val="000E003E"/>
    <w:rsid w:val="000E07AF"/>
    <w:rsid w:val="000F010A"/>
    <w:rsid w:val="00103598"/>
    <w:rsid w:val="00106747"/>
    <w:rsid w:val="0011415F"/>
    <w:rsid w:val="00114F63"/>
    <w:rsid w:val="00123CC5"/>
    <w:rsid w:val="001372DE"/>
    <w:rsid w:val="0014491C"/>
    <w:rsid w:val="00165A89"/>
    <w:rsid w:val="00181719"/>
    <w:rsid w:val="00182B0A"/>
    <w:rsid w:val="001A430B"/>
    <w:rsid w:val="001C0241"/>
    <w:rsid w:val="001D566B"/>
    <w:rsid w:val="001D5DC5"/>
    <w:rsid w:val="001E18DC"/>
    <w:rsid w:val="001F4293"/>
    <w:rsid w:val="00221877"/>
    <w:rsid w:val="00224476"/>
    <w:rsid w:val="002454CF"/>
    <w:rsid w:val="00257095"/>
    <w:rsid w:val="00273E53"/>
    <w:rsid w:val="0027787C"/>
    <w:rsid w:val="00282714"/>
    <w:rsid w:val="00287493"/>
    <w:rsid w:val="002926B5"/>
    <w:rsid w:val="00292CB8"/>
    <w:rsid w:val="00293C53"/>
    <w:rsid w:val="002A03A5"/>
    <w:rsid w:val="002B0FE1"/>
    <w:rsid w:val="002B3418"/>
    <w:rsid w:val="002D6C43"/>
    <w:rsid w:val="002F2766"/>
    <w:rsid w:val="002F3F66"/>
    <w:rsid w:val="002F5886"/>
    <w:rsid w:val="002F5A5A"/>
    <w:rsid w:val="00306179"/>
    <w:rsid w:val="00311C4D"/>
    <w:rsid w:val="003254B6"/>
    <w:rsid w:val="00347D9A"/>
    <w:rsid w:val="003608FF"/>
    <w:rsid w:val="00366DEF"/>
    <w:rsid w:val="0037124D"/>
    <w:rsid w:val="00393B19"/>
    <w:rsid w:val="003A0FF2"/>
    <w:rsid w:val="003A5EFF"/>
    <w:rsid w:val="003D3D90"/>
    <w:rsid w:val="003E0063"/>
    <w:rsid w:val="003E5269"/>
    <w:rsid w:val="003E540C"/>
    <w:rsid w:val="003F453C"/>
    <w:rsid w:val="003F6B45"/>
    <w:rsid w:val="00403CEE"/>
    <w:rsid w:val="00410574"/>
    <w:rsid w:val="00411ACC"/>
    <w:rsid w:val="00412FC7"/>
    <w:rsid w:val="004204D7"/>
    <w:rsid w:val="00432575"/>
    <w:rsid w:val="004372CC"/>
    <w:rsid w:val="00445400"/>
    <w:rsid w:val="00446706"/>
    <w:rsid w:val="0045080B"/>
    <w:rsid w:val="004509E6"/>
    <w:rsid w:val="004523E7"/>
    <w:rsid w:val="00476F4E"/>
    <w:rsid w:val="00483593"/>
    <w:rsid w:val="00496B65"/>
    <w:rsid w:val="004970A7"/>
    <w:rsid w:val="004A5A37"/>
    <w:rsid w:val="004B025C"/>
    <w:rsid w:val="004E0192"/>
    <w:rsid w:val="004E47C2"/>
    <w:rsid w:val="004E4D98"/>
    <w:rsid w:val="004E7EBC"/>
    <w:rsid w:val="004F1914"/>
    <w:rsid w:val="004F6243"/>
    <w:rsid w:val="0051570A"/>
    <w:rsid w:val="00522CCF"/>
    <w:rsid w:val="00524D59"/>
    <w:rsid w:val="00526908"/>
    <w:rsid w:val="00526E93"/>
    <w:rsid w:val="005679A9"/>
    <w:rsid w:val="00570389"/>
    <w:rsid w:val="00572789"/>
    <w:rsid w:val="005809CE"/>
    <w:rsid w:val="0058378B"/>
    <w:rsid w:val="005A4BE0"/>
    <w:rsid w:val="005B01AD"/>
    <w:rsid w:val="005B46F6"/>
    <w:rsid w:val="005B5E44"/>
    <w:rsid w:val="005C71CC"/>
    <w:rsid w:val="005C7846"/>
    <w:rsid w:val="005D7240"/>
    <w:rsid w:val="005E1E2E"/>
    <w:rsid w:val="005F4709"/>
    <w:rsid w:val="00600501"/>
    <w:rsid w:val="00600543"/>
    <w:rsid w:val="00611315"/>
    <w:rsid w:val="0061262A"/>
    <w:rsid w:val="00614EA0"/>
    <w:rsid w:val="00620A24"/>
    <w:rsid w:val="00621D70"/>
    <w:rsid w:val="0063054B"/>
    <w:rsid w:val="00644787"/>
    <w:rsid w:val="00645B36"/>
    <w:rsid w:val="00653169"/>
    <w:rsid w:val="00660A52"/>
    <w:rsid w:val="00663B2C"/>
    <w:rsid w:val="00667E14"/>
    <w:rsid w:val="00670E9F"/>
    <w:rsid w:val="006828DF"/>
    <w:rsid w:val="00682C20"/>
    <w:rsid w:val="00691163"/>
    <w:rsid w:val="006A14EF"/>
    <w:rsid w:val="006A19EE"/>
    <w:rsid w:val="006A2A0D"/>
    <w:rsid w:val="006A7DBA"/>
    <w:rsid w:val="006C34A5"/>
    <w:rsid w:val="006C4A2C"/>
    <w:rsid w:val="006C58CC"/>
    <w:rsid w:val="006D773B"/>
    <w:rsid w:val="006E42DC"/>
    <w:rsid w:val="006F5435"/>
    <w:rsid w:val="006F621D"/>
    <w:rsid w:val="006F6F3C"/>
    <w:rsid w:val="00707833"/>
    <w:rsid w:val="00712F7B"/>
    <w:rsid w:val="00715FEB"/>
    <w:rsid w:val="007306F5"/>
    <w:rsid w:val="0075021B"/>
    <w:rsid w:val="00760D68"/>
    <w:rsid w:val="0077343E"/>
    <w:rsid w:val="00782A46"/>
    <w:rsid w:val="00787075"/>
    <w:rsid w:val="007A4A08"/>
    <w:rsid w:val="007C0173"/>
    <w:rsid w:val="007C14F6"/>
    <w:rsid w:val="007C1868"/>
    <w:rsid w:val="007C1AAA"/>
    <w:rsid w:val="007D3259"/>
    <w:rsid w:val="007D69F7"/>
    <w:rsid w:val="007F2807"/>
    <w:rsid w:val="007F694C"/>
    <w:rsid w:val="00812F2E"/>
    <w:rsid w:val="00816D1E"/>
    <w:rsid w:val="00824D7F"/>
    <w:rsid w:val="008277C6"/>
    <w:rsid w:val="00827F33"/>
    <w:rsid w:val="00832548"/>
    <w:rsid w:val="00851EFC"/>
    <w:rsid w:val="008537C3"/>
    <w:rsid w:val="0085625E"/>
    <w:rsid w:val="0085697B"/>
    <w:rsid w:val="008603E4"/>
    <w:rsid w:val="00861A83"/>
    <w:rsid w:val="008854A4"/>
    <w:rsid w:val="00886199"/>
    <w:rsid w:val="008866EC"/>
    <w:rsid w:val="0089068E"/>
    <w:rsid w:val="008A1023"/>
    <w:rsid w:val="008A58BF"/>
    <w:rsid w:val="008B5624"/>
    <w:rsid w:val="008C266F"/>
    <w:rsid w:val="008C7407"/>
    <w:rsid w:val="008D145C"/>
    <w:rsid w:val="008D2119"/>
    <w:rsid w:val="008D2AE0"/>
    <w:rsid w:val="008D758B"/>
    <w:rsid w:val="008E389E"/>
    <w:rsid w:val="00903A8A"/>
    <w:rsid w:val="00905914"/>
    <w:rsid w:val="00907B1F"/>
    <w:rsid w:val="00912337"/>
    <w:rsid w:val="00925782"/>
    <w:rsid w:val="00937430"/>
    <w:rsid w:val="009478A7"/>
    <w:rsid w:val="0095089E"/>
    <w:rsid w:val="00964B13"/>
    <w:rsid w:val="00975154"/>
    <w:rsid w:val="009B0088"/>
    <w:rsid w:val="009B5BBD"/>
    <w:rsid w:val="009B6388"/>
    <w:rsid w:val="009B70C9"/>
    <w:rsid w:val="009D0711"/>
    <w:rsid w:val="009F5442"/>
    <w:rsid w:val="009F6658"/>
    <w:rsid w:val="00A10A97"/>
    <w:rsid w:val="00A13B2F"/>
    <w:rsid w:val="00A13C6B"/>
    <w:rsid w:val="00A15B88"/>
    <w:rsid w:val="00A16A1F"/>
    <w:rsid w:val="00A470D7"/>
    <w:rsid w:val="00A56FD6"/>
    <w:rsid w:val="00A612D8"/>
    <w:rsid w:val="00A74A7A"/>
    <w:rsid w:val="00A80C58"/>
    <w:rsid w:val="00A8203B"/>
    <w:rsid w:val="00AA2CEB"/>
    <w:rsid w:val="00AA3A90"/>
    <w:rsid w:val="00AB33B5"/>
    <w:rsid w:val="00AC3878"/>
    <w:rsid w:val="00AC7346"/>
    <w:rsid w:val="00AC7CE9"/>
    <w:rsid w:val="00AD39C6"/>
    <w:rsid w:val="00AD7634"/>
    <w:rsid w:val="00AE47B5"/>
    <w:rsid w:val="00AF27AC"/>
    <w:rsid w:val="00B14322"/>
    <w:rsid w:val="00B25FD6"/>
    <w:rsid w:val="00B3351B"/>
    <w:rsid w:val="00B352F2"/>
    <w:rsid w:val="00B36AC1"/>
    <w:rsid w:val="00B424B3"/>
    <w:rsid w:val="00B4629F"/>
    <w:rsid w:val="00B50959"/>
    <w:rsid w:val="00B55C3E"/>
    <w:rsid w:val="00B6227B"/>
    <w:rsid w:val="00B630B3"/>
    <w:rsid w:val="00B71617"/>
    <w:rsid w:val="00B7443A"/>
    <w:rsid w:val="00B771B6"/>
    <w:rsid w:val="00B86B42"/>
    <w:rsid w:val="00B96561"/>
    <w:rsid w:val="00BB5257"/>
    <w:rsid w:val="00BD1241"/>
    <w:rsid w:val="00BF37B9"/>
    <w:rsid w:val="00BF6E0B"/>
    <w:rsid w:val="00C04F79"/>
    <w:rsid w:val="00C121D6"/>
    <w:rsid w:val="00C128F7"/>
    <w:rsid w:val="00C20609"/>
    <w:rsid w:val="00C243A0"/>
    <w:rsid w:val="00C36F3F"/>
    <w:rsid w:val="00C407BD"/>
    <w:rsid w:val="00C437F5"/>
    <w:rsid w:val="00C47E98"/>
    <w:rsid w:val="00C53A5C"/>
    <w:rsid w:val="00C60C4E"/>
    <w:rsid w:val="00C70583"/>
    <w:rsid w:val="00C717E6"/>
    <w:rsid w:val="00C720E3"/>
    <w:rsid w:val="00C83B43"/>
    <w:rsid w:val="00CA39A6"/>
    <w:rsid w:val="00CA5B42"/>
    <w:rsid w:val="00CB3866"/>
    <w:rsid w:val="00CC25B0"/>
    <w:rsid w:val="00CC4B60"/>
    <w:rsid w:val="00CD4C9A"/>
    <w:rsid w:val="00CD5CA9"/>
    <w:rsid w:val="00CD70E9"/>
    <w:rsid w:val="00CE482E"/>
    <w:rsid w:val="00CF31AC"/>
    <w:rsid w:val="00CF6151"/>
    <w:rsid w:val="00D11E16"/>
    <w:rsid w:val="00D11EFE"/>
    <w:rsid w:val="00D15858"/>
    <w:rsid w:val="00D24076"/>
    <w:rsid w:val="00D40DDE"/>
    <w:rsid w:val="00D51043"/>
    <w:rsid w:val="00D60264"/>
    <w:rsid w:val="00D63036"/>
    <w:rsid w:val="00D65E39"/>
    <w:rsid w:val="00D7023C"/>
    <w:rsid w:val="00D70797"/>
    <w:rsid w:val="00D72EBB"/>
    <w:rsid w:val="00D87FDF"/>
    <w:rsid w:val="00D93E0A"/>
    <w:rsid w:val="00D96901"/>
    <w:rsid w:val="00D96D63"/>
    <w:rsid w:val="00DB7DCC"/>
    <w:rsid w:val="00DC6188"/>
    <w:rsid w:val="00DD35A9"/>
    <w:rsid w:val="00DD45F4"/>
    <w:rsid w:val="00DD4A7B"/>
    <w:rsid w:val="00DE5D65"/>
    <w:rsid w:val="00E06BFB"/>
    <w:rsid w:val="00E13C6E"/>
    <w:rsid w:val="00E24552"/>
    <w:rsid w:val="00E26AE1"/>
    <w:rsid w:val="00E4274C"/>
    <w:rsid w:val="00E44019"/>
    <w:rsid w:val="00E46058"/>
    <w:rsid w:val="00E51647"/>
    <w:rsid w:val="00E55E36"/>
    <w:rsid w:val="00E55E9E"/>
    <w:rsid w:val="00E710A4"/>
    <w:rsid w:val="00E7329A"/>
    <w:rsid w:val="00E73B19"/>
    <w:rsid w:val="00E779E1"/>
    <w:rsid w:val="00EA5729"/>
    <w:rsid w:val="00EA739B"/>
    <w:rsid w:val="00EB2568"/>
    <w:rsid w:val="00EC3ACB"/>
    <w:rsid w:val="00EC7040"/>
    <w:rsid w:val="00ED1FC9"/>
    <w:rsid w:val="00F02DA2"/>
    <w:rsid w:val="00F05C96"/>
    <w:rsid w:val="00F14657"/>
    <w:rsid w:val="00F30F38"/>
    <w:rsid w:val="00F37C4C"/>
    <w:rsid w:val="00F42595"/>
    <w:rsid w:val="00F42E08"/>
    <w:rsid w:val="00F43116"/>
    <w:rsid w:val="00F43CA4"/>
    <w:rsid w:val="00F45E2B"/>
    <w:rsid w:val="00F66357"/>
    <w:rsid w:val="00F75781"/>
    <w:rsid w:val="00F957CB"/>
    <w:rsid w:val="00F96A88"/>
    <w:rsid w:val="00FB4CA3"/>
    <w:rsid w:val="00FD0F47"/>
    <w:rsid w:val="00FD4184"/>
    <w:rsid w:val="00FE0E34"/>
    <w:rsid w:val="00FE357F"/>
    <w:rsid w:val="00FF3A0D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502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7AF"/>
  </w:style>
  <w:style w:type="paragraph" w:styleId="Piedepgina">
    <w:name w:val="footer"/>
    <w:basedOn w:val="Normal"/>
    <w:link w:val="Piedepgina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7AF"/>
  </w:style>
  <w:style w:type="character" w:styleId="nfasis">
    <w:name w:val="Emphasis"/>
    <w:qFormat/>
    <w:rsid w:val="000E07AF"/>
    <w:rPr>
      <w:i/>
      <w:iCs/>
    </w:rPr>
  </w:style>
  <w:style w:type="paragraph" w:styleId="Prrafodelista">
    <w:name w:val="List Paragraph"/>
    <w:basedOn w:val="Normal"/>
    <w:uiPriority w:val="34"/>
    <w:qFormat/>
    <w:rsid w:val="00D93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F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A43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43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43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43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430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C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2778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7AF"/>
  </w:style>
  <w:style w:type="paragraph" w:styleId="Piedepgina">
    <w:name w:val="footer"/>
    <w:basedOn w:val="Normal"/>
    <w:link w:val="Piedepgina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7AF"/>
  </w:style>
  <w:style w:type="character" w:styleId="nfasis">
    <w:name w:val="Emphasis"/>
    <w:qFormat/>
    <w:rsid w:val="000E07AF"/>
    <w:rPr>
      <w:i/>
      <w:iCs/>
    </w:rPr>
  </w:style>
  <w:style w:type="paragraph" w:styleId="Prrafodelista">
    <w:name w:val="List Paragraph"/>
    <w:basedOn w:val="Normal"/>
    <w:uiPriority w:val="34"/>
    <w:qFormat/>
    <w:rsid w:val="00D93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F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A43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43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43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43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430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C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277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54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91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34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8A80-CB6D-4736-9F49-D8ADA44D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AlcaínoVargas</dc:creator>
  <cp:lastModifiedBy>Jorge Alcaíno Vargas</cp:lastModifiedBy>
  <cp:revision>2</cp:revision>
  <cp:lastPrinted>2017-09-29T13:11:00Z</cp:lastPrinted>
  <dcterms:created xsi:type="dcterms:W3CDTF">2017-09-29T15:31:00Z</dcterms:created>
  <dcterms:modified xsi:type="dcterms:W3CDTF">2017-09-29T15:31:00Z</dcterms:modified>
</cp:coreProperties>
</file>