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62" w:rsidRDefault="008C1162" w:rsidP="007F0603">
      <w:pPr>
        <w:spacing w:before="120" w:after="0"/>
        <w:jc w:val="center"/>
        <w:rPr>
          <w:rFonts w:ascii="Verdana" w:hAnsi="Verdana"/>
          <w:b/>
          <w:bCs/>
          <w:lang w:val="es-ES_tradnl"/>
        </w:rPr>
      </w:pPr>
      <w:r>
        <w:rPr>
          <w:rFonts w:ascii="Verdana" w:hAnsi="Verdana"/>
          <w:b/>
          <w:bCs/>
          <w:lang w:val="es-ES_tradnl"/>
        </w:rPr>
        <w:t>MINUTA EXPLICATIVA</w:t>
      </w:r>
    </w:p>
    <w:p w:rsidR="0016661C" w:rsidRDefault="00B96561" w:rsidP="007F0603">
      <w:pPr>
        <w:spacing w:before="60" w:after="60"/>
        <w:jc w:val="center"/>
        <w:rPr>
          <w:rFonts w:ascii="Verdana" w:hAnsi="Verdana"/>
          <w:b/>
          <w:bCs/>
          <w:lang w:val="es-ES_tradnl"/>
        </w:rPr>
      </w:pPr>
      <w:r w:rsidRPr="00851EFC">
        <w:rPr>
          <w:rFonts w:ascii="Verdana" w:hAnsi="Verdana"/>
          <w:b/>
          <w:bCs/>
          <w:lang w:val="es-ES_tradnl"/>
        </w:rPr>
        <w:t>PROPUESTA DE DECRETO SUPREMO</w:t>
      </w:r>
      <w:r>
        <w:rPr>
          <w:rFonts w:ascii="Verdana" w:hAnsi="Verdana"/>
          <w:b/>
          <w:bCs/>
          <w:lang w:val="es-ES_tradnl"/>
        </w:rPr>
        <w:t xml:space="preserve"> </w:t>
      </w:r>
      <w:r w:rsidR="00B36AC1">
        <w:rPr>
          <w:rFonts w:ascii="Verdana" w:hAnsi="Verdana"/>
          <w:b/>
          <w:bCs/>
          <w:lang w:val="es-ES_tradnl"/>
        </w:rPr>
        <w:t xml:space="preserve">QUE </w:t>
      </w:r>
      <w:r w:rsidR="00894A58">
        <w:rPr>
          <w:rFonts w:ascii="Verdana" w:hAnsi="Verdana"/>
          <w:b/>
          <w:bCs/>
          <w:lang w:val="es-ES_tradnl"/>
        </w:rPr>
        <w:t xml:space="preserve">MODIFICA LA </w:t>
      </w:r>
    </w:p>
    <w:p w:rsidR="0016661C" w:rsidRDefault="00894A58" w:rsidP="007F0603">
      <w:pPr>
        <w:spacing w:before="60" w:after="60"/>
        <w:jc w:val="center"/>
        <w:rPr>
          <w:rFonts w:ascii="Verdana" w:hAnsi="Verdana"/>
          <w:b/>
          <w:bCs/>
          <w:lang w:val="es-ES_tradnl"/>
        </w:rPr>
      </w:pPr>
      <w:r>
        <w:rPr>
          <w:rFonts w:ascii="Verdana" w:hAnsi="Verdana"/>
          <w:b/>
          <w:bCs/>
          <w:lang w:val="es-ES_tradnl"/>
        </w:rPr>
        <w:t xml:space="preserve">ORDENANZA GENERAL DE URBANISMO Y CONSTRUCCIONES </w:t>
      </w:r>
    </w:p>
    <w:p w:rsidR="00B36AC1" w:rsidRDefault="00894A58" w:rsidP="007F0603">
      <w:pPr>
        <w:spacing w:before="60" w:after="60"/>
        <w:jc w:val="center"/>
        <w:rPr>
          <w:rFonts w:ascii="Verdana" w:hAnsi="Verdana"/>
          <w:b/>
          <w:bCs/>
          <w:lang w:val="es-ES_tradnl"/>
        </w:rPr>
      </w:pPr>
      <w:r>
        <w:rPr>
          <w:rFonts w:ascii="Verdana" w:hAnsi="Verdana"/>
          <w:b/>
          <w:bCs/>
          <w:lang w:val="es-ES_tradnl"/>
        </w:rPr>
        <w:t xml:space="preserve">PARA </w:t>
      </w:r>
      <w:r w:rsidRPr="00894A58">
        <w:rPr>
          <w:rFonts w:ascii="Verdana" w:hAnsi="Verdana"/>
          <w:b/>
          <w:bCs/>
          <w:lang w:val="es-ES_tradnl"/>
        </w:rPr>
        <w:t xml:space="preserve">ACTUALIZAR SUS NORMAS </w:t>
      </w:r>
      <w:r w:rsidR="007F0603">
        <w:rPr>
          <w:rFonts w:ascii="Verdana" w:hAnsi="Verdana"/>
          <w:b/>
          <w:bCs/>
          <w:lang w:val="es-ES_tradnl"/>
        </w:rPr>
        <w:t>EN MATERIA DE VIGENCIA</w:t>
      </w:r>
      <w:r w:rsidR="00246F55">
        <w:rPr>
          <w:rFonts w:ascii="Verdana" w:hAnsi="Verdana"/>
          <w:b/>
          <w:bCs/>
          <w:lang w:val="es-ES_tradnl"/>
        </w:rPr>
        <w:t xml:space="preserve"> Y</w:t>
      </w:r>
      <w:r w:rsidR="007F0603">
        <w:rPr>
          <w:rFonts w:ascii="Verdana" w:hAnsi="Verdana"/>
          <w:b/>
          <w:bCs/>
          <w:lang w:val="es-ES_tradnl"/>
        </w:rPr>
        <w:t xml:space="preserve"> CADUCIDAD DE PERMISOS.</w:t>
      </w:r>
      <w:r w:rsidR="00B36AC1">
        <w:rPr>
          <w:rFonts w:ascii="Verdana" w:hAnsi="Verdana"/>
          <w:b/>
          <w:bCs/>
          <w:lang w:val="es-ES_tradnl"/>
        </w:rPr>
        <w:t xml:space="preserve"> </w:t>
      </w:r>
    </w:p>
    <w:p w:rsidR="000E07AF" w:rsidRPr="00851EFC" w:rsidRDefault="000E07AF" w:rsidP="00311C4D">
      <w:pPr>
        <w:spacing w:before="120" w:after="0"/>
        <w:jc w:val="both"/>
        <w:rPr>
          <w:rFonts w:ascii="Verdana" w:hAnsi="Verdana"/>
          <w:b/>
          <w:bCs/>
          <w:lang w:val="es-ES_tradnl"/>
        </w:rPr>
      </w:pPr>
      <w:r w:rsidRPr="00851EFC">
        <w:rPr>
          <w:rFonts w:ascii="Verdana" w:hAnsi="Verdana"/>
          <w:b/>
          <w:bCs/>
          <w:lang w:val="es-ES_tradnl"/>
        </w:rPr>
        <w:t>________________________________________________________</w:t>
      </w:r>
    </w:p>
    <w:p w:rsidR="000E07AF" w:rsidRPr="00851EFC" w:rsidRDefault="000E07AF" w:rsidP="00311C4D">
      <w:pPr>
        <w:spacing w:before="120" w:after="0"/>
        <w:jc w:val="both"/>
        <w:rPr>
          <w:rFonts w:ascii="Verdana" w:hAnsi="Verdana"/>
          <w:b/>
          <w:bCs/>
          <w:lang w:val="es-ES_tradnl"/>
        </w:rPr>
      </w:pPr>
    </w:p>
    <w:p w:rsidR="000E07AF" w:rsidRPr="00851EFC" w:rsidRDefault="004509E6" w:rsidP="00311C4D">
      <w:pPr>
        <w:numPr>
          <w:ilvl w:val="0"/>
          <w:numId w:val="2"/>
        </w:numPr>
        <w:spacing w:before="120" w:after="0"/>
        <w:ind w:hanging="1080"/>
        <w:jc w:val="both"/>
        <w:rPr>
          <w:rFonts w:ascii="Verdana" w:hAnsi="Verdana"/>
          <w:b/>
          <w:bCs/>
          <w:lang w:val="es-ES_tradnl"/>
        </w:rPr>
      </w:pPr>
      <w:r w:rsidRPr="00851EFC">
        <w:rPr>
          <w:rFonts w:ascii="Verdana" w:hAnsi="Verdana"/>
          <w:b/>
          <w:bCs/>
          <w:lang w:val="es-ES_tradnl"/>
        </w:rPr>
        <w:t>IDENTIFICACIÓN</w:t>
      </w:r>
      <w:r w:rsidR="000E07AF" w:rsidRPr="00851EFC">
        <w:rPr>
          <w:rFonts w:ascii="Verdana" w:hAnsi="Verdana"/>
          <w:b/>
          <w:bCs/>
          <w:lang w:val="es-ES_tradnl"/>
        </w:rPr>
        <w:t xml:space="preserve"> DE LA PROPUESTA NORMATIVA.</w:t>
      </w:r>
    </w:p>
    <w:p w:rsidR="000E07AF" w:rsidRPr="00851EFC" w:rsidRDefault="000E07AF" w:rsidP="00311C4D">
      <w:pPr>
        <w:spacing w:before="120" w:after="0"/>
        <w:jc w:val="both"/>
        <w:rPr>
          <w:rFonts w:ascii="Verdana" w:hAnsi="Verdana"/>
          <w:b/>
          <w:bCs/>
          <w:lang w:val="es-ES_tradnl"/>
        </w:rPr>
      </w:pPr>
    </w:p>
    <w:p w:rsidR="000E07AF" w:rsidRPr="00585547" w:rsidRDefault="00CC4B60" w:rsidP="00585547">
      <w:pPr>
        <w:pStyle w:val="Prrafodelista"/>
        <w:shd w:val="clear" w:color="auto" w:fill="FFFFFF"/>
        <w:spacing w:after="0" w:line="240" w:lineRule="auto"/>
        <w:ind w:left="0"/>
        <w:jc w:val="both"/>
        <w:rPr>
          <w:rFonts w:ascii="Verdana" w:hAnsi="Verdana" w:cs="Arial"/>
          <w:bCs/>
        </w:rPr>
      </w:pPr>
      <w:r w:rsidRPr="00585547">
        <w:rPr>
          <w:rFonts w:ascii="Verdana" w:hAnsi="Verdana" w:cs="Arial"/>
          <w:bCs/>
        </w:rPr>
        <w:t>Propuesta de decreto supremo para modificar</w:t>
      </w:r>
      <w:r w:rsidR="000E07AF" w:rsidRPr="00585547">
        <w:rPr>
          <w:rFonts w:ascii="Verdana" w:hAnsi="Verdana" w:cs="Arial"/>
          <w:bCs/>
        </w:rPr>
        <w:t xml:space="preserve"> la Ordenanza General de Urbanismo y Construcciones</w:t>
      </w:r>
      <w:r w:rsidR="001C0241" w:rsidRPr="00585547">
        <w:rPr>
          <w:rFonts w:ascii="Verdana" w:hAnsi="Verdana" w:cs="Arial"/>
          <w:bCs/>
        </w:rPr>
        <w:t xml:space="preserve"> (OGUC)</w:t>
      </w:r>
      <w:r w:rsidR="000E07AF" w:rsidRPr="00585547">
        <w:rPr>
          <w:rFonts w:ascii="Verdana" w:hAnsi="Verdana" w:cs="Arial"/>
          <w:bCs/>
        </w:rPr>
        <w:t xml:space="preserve">, </w:t>
      </w:r>
      <w:r w:rsidR="00246F55">
        <w:rPr>
          <w:rFonts w:ascii="Verdana" w:hAnsi="Verdana" w:cs="Arial"/>
          <w:bCs/>
        </w:rPr>
        <w:t>para</w:t>
      </w:r>
      <w:r w:rsidR="00592B5D" w:rsidRPr="00585547">
        <w:rPr>
          <w:rFonts w:ascii="Verdana" w:hAnsi="Verdana" w:cs="Arial"/>
          <w:bCs/>
        </w:rPr>
        <w:t xml:space="preserve"> </w:t>
      </w:r>
      <w:r w:rsidR="007F0603" w:rsidRPr="00585547">
        <w:rPr>
          <w:rFonts w:ascii="Verdana" w:hAnsi="Verdana" w:cs="Arial"/>
          <w:bCs/>
        </w:rPr>
        <w:t>actualizar su normativa en materia de vigencia</w:t>
      </w:r>
      <w:r w:rsidR="00246F55">
        <w:rPr>
          <w:rFonts w:ascii="Verdana" w:hAnsi="Verdana" w:cs="Arial"/>
          <w:bCs/>
        </w:rPr>
        <w:t xml:space="preserve"> y</w:t>
      </w:r>
      <w:r w:rsidR="007F0603" w:rsidRPr="00585547">
        <w:rPr>
          <w:rFonts w:ascii="Verdana" w:hAnsi="Verdana" w:cs="Arial"/>
          <w:bCs/>
        </w:rPr>
        <w:t xml:space="preserve"> caducidad de permisos.  </w:t>
      </w:r>
    </w:p>
    <w:p w:rsidR="000E07AF" w:rsidRPr="00851EFC" w:rsidRDefault="000E07AF" w:rsidP="00311C4D">
      <w:pPr>
        <w:spacing w:before="120" w:after="0"/>
        <w:jc w:val="both"/>
        <w:rPr>
          <w:rFonts w:ascii="Verdana" w:hAnsi="Verdana"/>
          <w:b/>
          <w:bCs/>
          <w:lang w:val="es-ES_tradnl"/>
        </w:rPr>
      </w:pPr>
    </w:p>
    <w:p w:rsidR="000E07AF" w:rsidRPr="00851EFC" w:rsidRDefault="000E07AF" w:rsidP="0016661C">
      <w:pPr>
        <w:numPr>
          <w:ilvl w:val="0"/>
          <w:numId w:val="2"/>
        </w:numPr>
        <w:spacing w:before="120" w:after="0"/>
        <w:ind w:left="851" w:hanging="851"/>
        <w:jc w:val="both"/>
        <w:rPr>
          <w:rFonts w:ascii="Verdana" w:hAnsi="Verdana"/>
          <w:b/>
          <w:bCs/>
          <w:lang w:val="es-ES_tradnl"/>
        </w:rPr>
      </w:pPr>
      <w:r w:rsidRPr="00851EFC">
        <w:rPr>
          <w:rFonts w:ascii="Verdana" w:hAnsi="Verdana"/>
          <w:b/>
          <w:bCs/>
          <w:lang w:val="es-ES_tradnl"/>
        </w:rPr>
        <w:t xml:space="preserve">NECESIDAD QUE MOTIVA LA </w:t>
      </w:r>
      <w:r w:rsidR="004509E6" w:rsidRPr="00851EFC">
        <w:rPr>
          <w:rFonts w:ascii="Verdana" w:hAnsi="Verdana"/>
          <w:b/>
          <w:bCs/>
          <w:lang w:val="es-ES_tradnl"/>
        </w:rPr>
        <w:t>ELABORACIÓN</w:t>
      </w:r>
      <w:r w:rsidRPr="00851EFC">
        <w:rPr>
          <w:rFonts w:ascii="Verdana" w:hAnsi="Verdana"/>
          <w:b/>
          <w:bCs/>
          <w:lang w:val="es-ES_tradnl"/>
        </w:rPr>
        <w:t xml:space="preserve"> DE ESTA </w:t>
      </w:r>
      <w:r w:rsidR="004509E6" w:rsidRPr="00851EFC">
        <w:rPr>
          <w:rFonts w:ascii="Verdana" w:hAnsi="Verdana"/>
          <w:b/>
          <w:bCs/>
          <w:lang w:val="es-ES_tradnl"/>
        </w:rPr>
        <w:t>MODIFICACIÓN</w:t>
      </w:r>
      <w:r w:rsidRPr="00851EFC">
        <w:rPr>
          <w:rFonts w:ascii="Verdana" w:hAnsi="Verdana"/>
          <w:b/>
          <w:bCs/>
          <w:lang w:val="es-ES_tradnl"/>
        </w:rPr>
        <w:t xml:space="preserve"> DE LA OGUC.</w:t>
      </w:r>
    </w:p>
    <w:p w:rsidR="000E07AF" w:rsidRPr="00851EFC" w:rsidRDefault="000E07AF" w:rsidP="00311C4D">
      <w:pPr>
        <w:spacing w:before="120" w:after="0"/>
        <w:jc w:val="both"/>
        <w:rPr>
          <w:rFonts w:ascii="Verdana" w:hAnsi="Verdana"/>
          <w:b/>
          <w:bCs/>
          <w:lang w:val="es-ES_tradnl"/>
        </w:rPr>
      </w:pPr>
    </w:p>
    <w:p w:rsidR="007F0603" w:rsidRPr="007C7A2F" w:rsidRDefault="007F0603" w:rsidP="007C7A2F">
      <w:pPr>
        <w:spacing w:before="120" w:after="0"/>
        <w:jc w:val="both"/>
        <w:rPr>
          <w:rFonts w:ascii="Verdana" w:hAnsi="Verdana"/>
          <w:bCs/>
          <w:lang w:val="es-ES_tradnl"/>
        </w:rPr>
      </w:pPr>
      <w:r w:rsidRPr="007C7A2F">
        <w:rPr>
          <w:rFonts w:ascii="Verdana" w:hAnsi="Verdana"/>
          <w:bCs/>
          <w:lang w:val="es-ES_tradnl"/>
        </w:rPr>
        <w:t>El artículo 120 del Decreto con Fuerza de Ley Nº 458, de 1975, Ley General de Urbanismo y Construcciones, establece que la vigencia, caducidad y prórroga de un permiso, como asimismo los efectos derivados de una paralización de obra o la ejecución de una obra sin permiso, se sujetarán a las normas que señale la Ordenanza General.</w:t>
      </w:r>
    </w:p>
    <w:p w:rsidR="007F0603" w:rsidRPr="007C7A2F" w:rsidRDefault="007F0603" w:rsidP="007C7A2F">
      <w:pPr>
        <w:spacing w:before="120" w:after="0"/>
        <w:jc w:val="both"/>
        <w:rPr>
          <w:rFonts w:ascii="Verdana" w:hAnsi="Verdana"/>
          <w:bCs/>
          <w:lang w:val="es-ES_tradnl"/>
        </w:rPr>
      </w:pPr>
    </w:p>
    <w:p w:rsidR="00127C72" w:rsidRPr="007C7A2F" w:rsidRDefault="00246F55" w:rsidP="007C7A2F">
      <w:pPr>
        <w:spacing w:before="120" w:after="0"/>
        <w:jc w:val="both"/>
        <w:rPr>
          <w:rFonts w:ascii="Verdana" w:hAnsi="Verdana"/>
          <w:bCs/>
          <w:lang w:val="es-ES_tradnl"/>
        </w:rPr>
      </w:pPr>
      <w:r w:rsidRPr="007C7A2F">
        <w:rPr>
          <w:rFonts w:ascii="Verdana" w:hAnsi="Verdana"/>
          <w:bCs/>
          <w:lang w:val="es-ES_tradnl"/>
        </w:rPr>
        <w:t>L</w:t>
      </w:r>
      <w:r w:rsidR="007F0603" w:rsidRPr="007C7A2F">
        <w:rPr>
          <w:rFonts w:ascii="Verdana" w:hAnsi="Verdana"/>
          <w:bCs/>
          <w:lang w:val="es-ES_tradnl"/>
        </w:rPr>
        <w:t xml:space="preserve">a Ordenanza General de Urbanismo y Construcciones, </w:t>
      </w:r>
      <w:r w:rsidR="00461BE7" w:rsidRPr="007C7A2F">
        <w:rPr>
          <w:rFonts w:ascii="Verdana" w:hAnsi="Verdana"/>
          <w:bCs/>
          <w:lang w:val="es-ES_tradnl"/>
        </w:rPr>
        <w:t>establece</w:t>
      </w:r>
      <w:r w:rsidR="00585547" w:rsidRPr="007C7A2F">
        <w:rPr>
          <w:rFonts w:ascii="Verdana" w:hAnsi="Verdana"/>
          <w:bCs/>
          <w:lang w:val="es-ES_tradnl"/>
        </w:rPr>
        <w:t xml:space="preserve"> en su artículo 1.4</w:t>
      </w:r>
      <w:r w:rsidR="007F0603" w:rsidRPr="007C7A2F">
        <w:rPr>
          <w:rFonts w:ascii="Verdana" w:hAnsi="Verdana"/>
          <w:bCs/>
          <w:lang w:val="es-ES_tradnl"/>
        </w:rPr>
        <w:t xml:space="preserve">.17., </w:t>
      </w:r>
      <w:r w:rsidRPr="007C7A2F">
        <w:rPr>
          <w:rFonts w:ascii="Verdana" w:hAnsi="Verdana"/>
          <w:bCs/>
          <w:lang w:val="es-ES_tradnl"/>
        </w:rPr>
        <w:t>los plazos de</w:t>
      </w:r>
      <w:r w:rsidR="007F0603" w:rsidRPr="007C7A2F">
        <w:rPr>
          <w:rFonts w:ascii="Verdana" w:hAnsi="Verdana"/>
          <w:bCs/>
          <w:lang w:val="es-ES_tradnl"/>
        </w:rPr>
        <w:t xml:space="preserve"> vigencia</w:t>
      </w:r>
      <w:r w:rsidRPr="007C7A2F">
        <w:rPr>
          <w:rFonts w:ascii="Verdana" w:hAnsi="Verdana"/>
          <w:bCs/>
          <w:lang w:val="es-ES_tradnl"/>
        </w:rPr>
        <w:t xml:space="preserve"> de los permisos, así como la</w:t>
      </w:r>
      <w:r w:rsidR="007F0603" w:rsidRPr="007C7A2F">
        <w:rPr>
          <w:rFonts w:ascii="Verdana" w:hAnsi="Verdana"/>
          <w:bCs/>
          <w:lang w:val="es-ES_tradnl"/>
        </w:rPr>
        <w:t xml:space="preserve"> caducidad </w:t>
      </w:r>
      <w:r w:rsidRPr="007C7A2F">
        <w:rPr>
          <w:rFonts w:ascii="Verdana" w:hAnsi="Verdana"/>
          <w:bCs/>
          <w:lang w:val="es-ES_tradnl"/>
        </w:rPr>
        <w:t>y</w:t>
      </w:r>
      <w:r w:rsidR="007F0603" w:rsidRPr="007C7A2F">
        <w:rPr>
          <w:rFonts w:ascii="Verdana" w:hAnsi="Verdana"/>
          <w:bCs/>
          <w:lang w:val="es-ES_tradnl"/>
        </w:rPr>
        <w:t xml:space="preserve"> </w:t>
      </w:r>
      <w:r w:rsidRPr="007C7A2F">
        <w:rPr>
          <w:rFonts w:ascii="Verdana" w:hAnsi="Verdana"/>
          <w:bCs/>
          <w:lang w:val="es-ES_tradnl"/>
        </w:rPr>
        <w:t>los</w:t>
      </w:r>
      <w:r w:rsidR="007F0603" w:rsidRPr="007C7A2F">
        <w:rPr>
          <w:rFonts w:ascii="Verdana" w:hAnsi="Verdana"/>
          <w:bCs/>
          <w:lang w:val="es-ES_tradnl"/>
        </w:rPr>
        <w:t xml:space="preserve"> efectos derivados de una paralización de obra.</w:t>
      </w:r>
    </w:p>
    <w:p w:rsidR="00592B5D" w:rsidRDefault="00592B5D" w:rsidP="007C7A2F">
      <w:pPr>
        <w:spacing w:before="120" w:after="0"/>
        <w:jc w:val="both"/>
        <w:rPr>
          <w:rFonts w:ascii="Verdana" w:hAnsi="Verdana"/>
          <w:bCs/>
          <w:lang w:val="es-ES_tradnl"/>
        </w:rPr>
      </w:pPr>
    </w:p>
    <w:p w:rsidR="007F0603" w:rsidRPr="007C7A2F" w:rsidRDefault="000B4783" w:rsidP="007C7A2F">
      <w:pPr>
        <w:spacing w:before="120" w:after="0"/>
        <w:jc w:val="both"/>
        <w:rPr>
          <w:rFonts w:ascii="Verdana" w:hAnsi="Verdana"/>
          <w:bCs/>
          <w:lang w:val="es-ES_tradnl"/>
        </w:rPr>
      </w:pPr>
      <w:r w:rsidRPr="007C7A2F">
        <w:rPr>
          <w:rFonts w:ascii="Verdana" w:hAnsi="Verdana"/>
          <w:bCs/>
          <w:lang w:val="es-ES_tradnl"/>
        </w:rPr>
        <w:t>Al respecto</w:t>
      </w:r>
      <w:r w:rsidR="00660A52" w:rsidRPr="007C7A2F">
        <w:rPr>
          <w:rFonts w:ascii="Verdana" w:hAnsi="Verdana"/>
          <w:bCs/>
          <w:lang w:val="es-ES_tradnl"/>
        </w:rPr>
        <w:t>,</w:t>
      </w:r>
      <w:r w:rsidR="007F0603" w:rsidRPr="007C7A2F">
        <w:rPr>
          <w:rFonts w:ascii="Verdana" w:hAnsi="Verdana"/>
          <w:bCs/>
          <w:lang w:val="es-ES_tradnl"/>
        </w:rPr>
        <w:t xml:space="preserve"> </w:t>
      </w:r>
      <w:r w:rsidRPr="007C7A2F">
        <w:rPr>
          <w:rFonts w:ascii="Verdana" w:hAnsi="Verdana"/>
          <w:bCs/>
          <w:lang w:val="es-ES_tradnl"/>
        </w:rPr>
        <w:t>cabe tener en consideración asimismo</w:t>
      </w:r>
      <w:r w:rsidR="007F0603" w:rsidRPr="007C7A2F">
        <w:rPr>
          <w:rFonts w:ascii="Verdana" w:hAnsi="Verdana"/>
          <w:bCs/>
          <w:lang w:val="es-ES_tradnl"/>
        </w:rPr>
        <w:t xml:space="preserve"> las recomendaciones del Informe Final de Consejo Asesor Presidencial Contra los Conflictos de Interés, el Tráfico de Influencias, y la Corrupción, conocido como “Comisión Engel”, creado por la Presidencia de la República a través del Decreto N° 2, de 10 de marzo de 2015, y publicado en el Diario Oficial el 9 de abril de 2015, el cual tuvo por objetivo proponer un nuevo marco normativo, que permita el cumplimiento efectivo de los principios éticos, de integridad y transparencia, en sus aspectos legales y administrativos para logar el eficaz control del tráfico de influencias, la prevención de la corrupción y de los conflictos de interés en los ámbitos de los negocios, la política y el servicio público, así como en la relación entre éstos.</w:t>
      </w:r>
      <w:r w:rsidR="007F0603" w:rsidRPr="007C7A2F" w:rsidDel="00735B31">
        <w:rPr>
          <w:rFonts w:ascii="Verdana" w:hAnsi="Verdana"/>
          <w:bCs/>
          <w:lang w:val="es-ES_tradnl"/>
        </w:rPr>
        <w:t xml:space="preserve"> </w:t>
      </w:r>
    </w:p>
    <w:p w:rsidR="007F0603" w:rsidRPr="007C7A2F" w:rsidRDefault="007F0603" w:rsidP="007C7A2F">
      <w:pPr>
        <w:spacing w:before="120" w:after="0"/>
        <w:jc w:val="both"/>
        <w:rPr>
          <w:rFonts w:ascii="Verdana" w:hAnsi="Verdana"/>
          <w:bCs/>
          <w:lang w:val="es-ES_tradnl"/>
        </w:rPr>
      </w:pPr>
    </w:p>
    <w:p w:rsidR="007F0603" w:rsidRPr="007C7A2F" w:rsidRDefault="007F0603" w:rsidP="007C7A2F">
      <w:pPr>
        <w:spacing w:before="120" w:after="0"/>
        <w:jc w:val="both"/>
        <w:rPr>
          <w:rFonts w:ascii="Verdana" w:hAnsi="Verdana"/>
          <w:bCs/>
          <w:lang w:val="es-ES_tradnl"/>
        </w:rPr>
      </w:pPr>
      <w:r w:rsidRPr="007C7A2F">
        <w:rPr>
          <w:rFonts w:ascii="Verdana" w:hAnsi="Verdana"/>
          <w:bCs/>
          <w:lang w:val="es-ES_tradnl"/>
        </w:rPr>
        <w:t>Es</w:t>
      </w:r>
      <w:r w:rsidR="000B4783" w:rsidRPr="007C7A2F">
        <w:rPr>
          <w:rFonts w:ascii="Verdana" w:hAnsi="Verdana"/>
          <w:bCs/>
          <w:lang w:val="es-ES_tradnl"/>
        </w:rPr>
        <w:t>t</w:t>
      </w:r>
      <w:r w:rsidRPr="007C7A2F">
        <w:rPr>
          <w:rFonts w:ascii="Verdana" w:hAnsi="Verdana"/>
          <w:bCs/>
          <w:lang w:val="es-ES_tradnl"/>
        </w:rPr>
        <w:t xml:space="preserve">a Comisión en el Capítulo I del Informe Final, relativo a la Prevención de la Corrupción, y en particular en su letra g., relativa a la Prevención de la Corrupción en la Planificación Territorial, recomendó establecer un plazo perentorio de tres años para iniciar las obras de un proyecto aprobado por el Director de Obras Municipales, debiendo demostrarse un avance real y </w:t>
      </w:r>
      <w:r w:rsidRPr="007C7A2F">
        <w:rPr>
          <w:rFonts w:ascii="Verdana" w:hAnsi="Verdana"/>
          <w:bCs/>
          <w:lang w:val="es-ES_tradnl"/>
        </w:rPr>
        <w:lastRenderedPageBreak/>
        <w:t>sustanti</w:t>
      </w:r>
      <w:r w:rsidR="000B4783" w:rsidRPr="007C7A2F">
        <w:rPr>
          <w:rFonts w:ascii="Verdana" w:hAnsi="Verdana"/>
          <w:bCs/>
          <w:lang w:val="es-ES_tradnl"/>
        </w:rPr>
        <w:t xml:space="preserve">vo para solicitar una prórroga; pues </w:t>
      </w:r>
      <w:r w:rsidRPr="007C7A2F">
        <w:rPr>
          <w:rFonts w:ascii="Verdana" w:hAnsi="Verdana"/>
          <w:bCs/>
          <w:lang w:val="es-ES_tradnl"/>
        </w:rPr>
        <w:t xml:space="preserve">la redacción actual de </w:t>
      </w:r>
      <w:r w:rsidR="00461BE7" w:rsidRPr="007C7A2F">
        <w:rPr>
          <w:rFonts w:ascii="Verdana" w:hAnsi="Verdana"/>
          <w:bCs/>
          <w:lang w:val="es-ES_tradnl"/>
        </w:rPr>
        <w:t xml:space="preserve">la </w:t>
      </w:r>
      <w:r w:rsidRPr="007C7A2F">
        <w:rPr>
          <w:rFonts w:ascii="Verdana" w:hAnsi="Verdana"/>
          <w:bCs/>
          <w:lang w:val="es-ES_tradnl"/>
        </w:rPr>
        <w:t>norma</w:t>
      </w:r>
      <w:r w:rsidR="00461BE7" w:rsidRPr="007C7A2F">
        <w:rPr>
          <w:rFonts w:ascii="Verdana" w:hAnsi="Verdana"/>
          <w:bCs/>
          <w:lang w:val="es-ES_tradnl"/>
        </w:rPr>
        <w:t>tiva, contenida en el art</w:t>
      </w:r>
      <w:r w:rsidR="004676AD" w:rsidRPr="007C7A2F">
        <w:rPr>
          <w:rFonts w:ascii="Verdana" w:hAnsi="Verdana"/>
          <w:bCs/>
          <w:lang w:val="es-ES_tradnl"/>
        </w:rPr>
        <w:t>ículo 1</w:t>
      </w:r>
      <w:r w:rsidR="00461BE7" w:rsidRPr="007C7A2F">
        <w:rPr>
          <w:rFonts w:ascii="Verdana" w:hAnsi="Verdana"/>
          <w:bCs/>
          <w:lang w:val="es-ES_tradnl"/>
        </w:rPr>
        <w:t>.</w:t>
      </w:r>
      <w:r w:rsidR="004676AD" w:rsidRPr="007C7A2F">
        <w:rPr>
          <w:rFonts w:ascii="Verdana" w:hAnsi="Verdana"/>
          <w:bCs/>
          <w:lang w:val="es-ES_tradnl"/>
        </w:rPr>
        <w:t>4</w:t>
      </w:r>
      <w:r w:rsidR="00461BE7" w:rsidRPr="007C7A2F">
        <w:rPr>
          <w:rFonts w:ascii="Verdana" w:hAnsi="Verdana"/>
          <w:bCs/>
          <w:lang w:val="es-ES_tradnl"/>
        </w:rPr>
        <w:t>.17. de la Ordenanza General de Urbanismo y Construcciones</w:t>
      </w:r>
      <w:r w:rsidR="000B4783" w:rsidRPr="007C7A2F">
        <w:rPr>
          <w:rFonts w:ascii="Verdana" w:hAnsi="Verdana"/>
          <w:bCs/>
          <w:lang w:val="es-ES_tradnl"/>
        </w:rPr>
        <w:t>,</w:t>
      </w:r>
      <w:r w:rsidRPr="007C7A2F">
        <w:rPr>
          <w:rFonts w:ascii="Verdana" w:hAnsi="Verdana"/>
          <w:bCs/>
          <w:lang w:val="es-ES_tradnl"/>
        </w:rPr>
        <w:t xml:space="preserve"> permite la prórroga casi indefinida</w:t>
      </w:r>
      <w:r w:rsidR="000B4783" w:rsidRPr="007C7A2F">
        <w:rPr>
          <w:rFonts w:ascii="Verdana" w:hAnsi="Verdana"/>
          <w:bCs/>
          <w:lang w:val="es-ES_tradnl"/>
        </w:rPr>
        <w:t xml:space="preserve"> del permiso</w:t>
      </w:r>
      <w:r w:rsidRPr="007C7A2F">
        <w:rPr>
          <w:rFonts w:ascii="Verdana" w:hAnsi="Verdana"/>
          <w:bCs/>
          <w:lang w:val="es-ES_tradnl"/>
        </w:rPr>
        <w:t>, lo cual facilita evadir las exigencias derivadas de los cambios a los p</w:t>
      </w:r>
      <w:r w:rsidR="000B4783" w:rsidRPr="007C7A2F">
        <w:rPr>
          <w:rFonts w:ascii="Verdana" w:hAnsi="Verdana"/>
          <w:bCs/>
          <w:lang w:val="es-ES_tradnl"/>
        </w:rPr>
        <w:t>lanos reguladores posteriores, entre otros aspectos.</w:t>
      </w:r>
      <w:r w:rsidRPr="007C7A2F">
        <w:rPr>
          <w:rFonts w:ascii="Verdana" w:hAnsi="Verdana"/>
          <w:bCs/>
          <w:lang w:val="es-ES_tradnl"/>
        </w:rPr>
        <w:t xml:space="preserve"> </w:t>
      </w:r>
    </w:p>
    <w:p w:rsidR="00ED1FC9" w:rsidRPr="00461BE7" w:rsidRDefault="00ED1FC9" w:rsidP="00461BE7">
      <w:pPr>
        <w:shd w:val="clear" w:color="auto" w:fill="FFFFFF"/>
        <w:spacing w:after="0" w:line="240" w:lineRule="auto"/>
        <w:jc w:val="both"/>
        <w:rPr>
          <w:rFonts w:ascii="Verdana" w:hAnsi="Verdana"/>
          <w:bCs/>
          <w:lang w:val="es-ES_tradnl"/>
        </w:rPr>
      </w:pPr>
    </w:p>
    <w:p w:rsidR="00026FCD" w:rsidRPr="00851EFC" w:rsidRDefault="00026FCD" w:rsidP="00311C4D">
      <w:pPr>
        <w:spacing w:before="120" w:after="0"/>
        <w:jc w:val="both"/>
        <w:rPr>
          <w:rFonts w:ascii="Verdana" w:hAnsi="Verdana"/>
          <w:bCs/>
          <w:lang w:val="es-ES_tradnl"/>
        </w:rPr>
      </w:pPr>
    </w:p>
    <w:p w:rsidR="000E07AF" w:rsidRPr="00592B5D" w:rsidRDefault="000E07AF" w:rsidP="00311C4D">
      <w:pPr>
        <w:numPr>
          <w:ilvl w:val="0"/>
          <w:numId w:val="2"/>
        </w:numPr>
        <w:spacing w:before="120" w:after="0"/>
        <w:ind w:left="851" w:hanging="851"/>
        <w:jc w:val="both"/>
        <w:rPr>
          <w:rFonts w:ascii="Verdana" w:hAnsi="Verdana"/>
          <w:bCs/>
          <w:lang w:val="es-ES_tradnl"/>
        </w:rPr>
      </w:pPr>
      <w:r w:rsidRPr="00592B5D">
        <w:rPr>
          <w:rFonts w:ascii="Verdana" w:hAnsi="Verdana"/>
          <w:b/>
          <w:bCs/>
          <w:lang w:val="es-ES_tradnl"/>
        </w:rPr>
        <w:t xml:space="preserve">OBJETIVOS DEL DECRETO SUPREMO SOBRE </w:t>
      </w:r>
      <w:r w:rsidR="00592B5D">
        <w:rPr>
          <w:rFonts w:ascii="Verdana" w:hAnsi="Verdana"/>
          <w:b/>
          <w:bCs/>
          <w:lang w:val="es-ES_tradnl"/>
        </w:rPr>
        <w:t>ACTUALIZACIÓN DE NORMAS EN MATERIA DE SEGURIDAD CONTRA INCENDIOS.</w:t>
      </w:r>
    </w:p>
    <w:p w:rsidR="00592B5D" w:rsidRPr="00592B5D" w:rsidRDefault="00592B5D" w:rsidP="00592B5D">
      <w:pPr>
        <w:spacing w:before="120" w:after="0"/>
        <w:ind w:left="851"/>
        <w:jc w:val="both"/>
        <w:rPr>
          <w:rFonts w:ascii="Verdana" w:hAnsi="Verdana"/>
          <w:bCs/>
          <w:lang w:val="es-ES_tradnl"/>
        </w:rPr>
      </w:pPr>
    </w:p>
    <w:p w:rsidR="0085791C" w:rsidRPr="00621D70" w:rsidRDefault="000E07AF" w:rsidP="0011682A">
      <w:pPr>
        <w:spacing w:before="120" w:after="120"/>
        <w:jc w:val="both"/>
        <w:rPr>
          <w:rFonts w:ascii="Verdana" w:hAnsi="Verdana"/>
          <w:bCs/>
          <w:lang w:val="es-ES_tradnl"/>
        </w:rPr>
      </w:pPr>
      <w:r w:rsidRPr="00621D70">
        <w:rPr>
          <w:rFonts w:ascii="Verdana" w:hAnsi="Verdana"/>
          <w:bCs/>
          <w:lang w:val="es-ES_tradnl"/>
        </w:rPr>
        <w:t>Los objetivos principales de esta propuesta normativa son:</w:t>
      </w:r>
    </w:p>
    <w:p w:rsidR="006B0B3E" w:rsidRPr="006B0B3E" w:rsidRDefault="006B0B3E" w:rsidP="006B0B3E">
      <w:pPr>
        <w:numPr>
          <w:ilvl w:val="0"/>
          <w:numId w:val="3"/>
        </w:numPr>
        <w:spacing w:before="120" w:after="0"/>
        <w:ind w:left="851" w:hanging="851"/>
        <w:jc w:val="both"/>
        <w:rPr>
          <w:rFonts w:ascii="Verdana" w:hAnsi="Verdana"/>
          <w:bCs/>
          <w:lang w:val="es-ES_tradnl"/>
        </w:rPr>
      </w:pPr>
      <w:r>
        <w:rPr>
          <w:rFonts w:ascii="Verdana" w:hAnsi="Verdana"/>
          <w:bCs/>
          <w:lang w:val="es-ES_tradnl"/>
        </w:rPr>
        <w:t>F</w:t>
      </w:r>
      <w:r w:rsidRPr="006B0B3E">
        <w:rPr>
          <w:rFonts w:ascii="Verdana" w:hAnsi="Verdana"/>
          <w:bCs/>
          <w:lang w:val="es-ES_tradnl"/>
        </w:rPr>
        <w:t xml:space="preserve">ortalecer la eficacia de los </w:t>
      </w:r>
      <w:r>
        <w:rPr>
          <w:rFonts w:ascii="Verdana" w:hAnsi="Verdana"/>
          <w:bCs/>
          <w:lang w:val="es-ES_tradnl"/>
        </w:rPr>
        <w:t>Instrumentos de Planificación Territorial</w:t>
      </w:r>
      <w:r w:rsidR="00313BC9">
        <w:rPr>
          <w:rFonts w:ascii="Verdana" w:hAnsi="Verdana"/>
          <w:bCs/>
          <w:lang w:val="es-ES_tradnl"/>
        </w:rPr>
        <w:t xml:space="preserve"> (IPT)</w:t>
      </w:r>
      <w:r>
        <w:rPr>
          <w:rFonts w:ascii="Verdana" w:hAnsi="Verdana"/>
          <w:bCs/>
          <w:lang w:val="es-ES_tradnl"/>
        </w:rPr>
        <w:t xml:space="preserve">, </w:t>
      </w:r>
      <w:r w:rsidRPr="006B0B3E">
        <w:rPr>
          <w:rFonts w:ascii="Verdana" w:hAnsi="Verdana"/>
          <w:bCs/>
          <w:lang w:val="es-ES_tradnl"/>
        </w:rPr>
        <w:t>en un doble sentido</w:t>
      </w:r>
      <w:r>
        <w:rPr>
          <w:rFonts w:ascii="Verdana" w:hAnsi="Verdana"/>
          <w:bCs/>
          <w:lang w:val="es-ES_tradnl"/>
        </w:rPr>
        <w:t>. El</w:t>
      </w:r>
      <w:r w:rsidRPr="006B0B3E">
        <w:rPr>
          <w:rFonts w:ascii="Verdana" w:hAnsi="Verdana"/>
          <w:bCs/>
          <w:lang w:val="es-ES_tradnl"/>
        </w:rPr>
        <w:t xml:space="preserve"> fundamento básico </w:t>
      </w:r>
      <w:r>
        <w:rPr>
          <w:rFonts w:ascii="Verdana" w:hAnsi="Verdana"/>
          <w:bCs/>
          <w:lang w:val="es-ES_tradnl"/>
        </w:rPr>
        <w:t xml:space="preserve">asociado a la vigencia, </w:t>
      </w:r>
      <w:r w:rsidRPr="006B0B3E">
        <w:rPr>
          <w:rFonts w:ascii="Verdana" w:hAnsi="Verdana"/>
          <w:bCs/>
          <w:lang w:val="es-ES_tradnl"/>
        </w:rPr>
        <w:t xml:space="preserve">caducidad </w:t>
      </w:r>
      <w:r>
        <w:rPr>
          <w:rFonts w:ascii="Verdana" w:hAnsi="Verdana"/>
          <w:bCs/>
          <w:lang w:val="es-ES_tradnl"/>
        </w:rPr>
        <w:t xml:space="preserve">y prórroga de los permisos </w:t>
      </w:r>
      <w:r w:rsidRPr="006B0B3E">
        <w:rPr>
          <w:rFonts w:ascii="Verdana" w:hAnsi="Verdana"/>
          <w:bCs/>
          <w:lang w:val="es-ES_tradnl"/>
        </w:rPr>
        <w:t>es</w:t>
      </w:r>
      <w:r>
        <w:rPr>
          <w:rFonts w:ascii="Verdana" w:hAnsi="Verdana"/>
          <w:bCs/>
          <w:lang w:val="es-ES_tradnl"/>
        </w:rPr>
        <w:t xml:space="preserve"> que, sin perjuicio de los derechos asociados a la obtención de </w:t>
      </w:r>
      <w:r w:rsidR="00313BC9">
        <w:rPr>
          <w:rFonts w:ascii="Verdana" w:hAnsi="Verdana"/>
          <w:bCs/>
          <w:lang w:val="es-ES_tradnl"/>
        </w:rPr>
        <w:t>los mismos</w:t>
      </w:r>
      <w:r>
        <w:rPr>
          <w:rFonts w:ascii="Verdana" w:hAnsi="Verdana"/>
          <w:bCs/>
          <w:lang w:val="es-ES_tradnl"/>
        </w:rPr>
        <w:t>, ello</w:t>
      </w:r>
      <w:r w:rsidRPr="006B0B3E">
        <w:rPr>
          <w:rFonts w:ascii="Verdana" w:hAnsi="Verdana"/>
          <w:bCs/>
          <w:lang w:val="es-ES_tradnl"/>
        </w:rPr>
        <w:t xml:space="preserve"> </w:t>
      </w:r>
      <w:r>
        <w:rPr>
          <w:rFonts w:ascii="Verdana" w:hAnsi="Verdana"/>
          <w:bCs/>
          <w:lang w:val="es-ES_tradnl"/>
        </w:rPr>
        <w:t>no afecte</w:t>
      </w:r>
      <w:r w:rsidRPr="006B0B3E">
        <w:rPr>
          <w:rFonts w:ascii="Verdana" w:hAnsi="Verdana"/>
          <w:bCs/>
          <w:lang w:val="es-ES_tradnl"/>
        </w:rPr>
        <w:t xml:space="preserve"> la pronta </w:t>
      </w:r>
      <w:r>
        <w:rPr>
          <w:rFonts w:ascii="Verdana" w:hAnsi="Verdana"/>
          <w:bCs/>
          <w:lang w:val="es-ES_tradnl"/>
        </w:rPr>
        <w:t>concreción de la propuesta de ciudad contenida en e</w:t>
      </w:r>
      <w:r w:rsidRPr="006B0B3E">
        <w:rPr>
          <w:rFonts w:ascii="Verdana" w:hAnsi="Verdana"/>
          <w:bCs/>
          <w:lang w:val="es-ES_tradnl"/>
        </w:rPr>
        <w:t xml:space="preserve">l plan </w:t>
      </w:r>
      <w:r>
        <w:rPr>
          <w:rFonts w:ascii="Verdana" w:hAnsi="Verdana"/>
          <w:bCs/>
          <w:lang w:val="es-ES_tradnl"/>
        </w:rPr>
        <w:t xml:space="preserve">regulador </w:t>
      </w:r>
      <w:r w:rsidRPr="006B0B3E">
        <w:rPr>
          <w:rFonts w:ascii="Verdana" w:hAnsi="Verdana"/>
          <w:bCs/>
          <w:lang w:val="es-ES_tradnl"/>
        </w:rPr>
        <w:t>vigente. Segundo, favoreciendo la materialización de las modificaciones que experimente</w:t>
      </w:r>
      <w:r>
        <w:rPr>
          <w:rFonts w:ascii="Verdana" w:hAnsi="Verdana"/>
          <w:bCs/>
          <w:lang w:val="es-ES_tradnl"/>
        </w:rPr>
        <w:t>n los proyectos,</w:t>
      </w:r>
      <w:r w:rsidRPr="006B0B3E">
        <w:rPr>
          <w:rFonts w:ascii="Verdana" w:hAnsi="Verdana"/>
          <w:bCs/>
          <w:lang w:val="es-ES_tradnl"/>
        </w:rPr>
        <w:t xml:space="preserve"> entendiendo que el cambio persigue mejorar la situación preexistente. La vigencia indefinida representa una frontera a la ejecución de esos cambios </w:t>
      </w:r>
      <w:r>
        <w:rPr>
          <w:rFonts w:ascii="Verdana" w:hAnsi="Verdana"/>
          <w:bCs/>
          <w:lang w:val="es-ES_tradnl"/>
        </w:rPr>
        <w:t>manteniendo</w:t>
      </w:r>
      <w:r w:rsidRPr="006B0B3E">
        <w:rPr>
          <w:rFonts w:ascii="Verdana" w:hAnsi="Verdana"/>
          <w:bCs/>
          <w:lang w:val="es-ES_tradnl"/>
        </w:rPr>
        <w:t xml:space="preserve"> en vigor el antiguo plan, esto es, </w:t>
      </w:r>
      <w:r w:rsidR="00696CC6">
        <w:rPr>
          <w:rFonts w:ascii="Verdana" w:hAnsi="Verdana"/>
          <w:bCs/>
          <w:lang w:val="es-ES_tradnl"/>
        </w:rPr>
        <w:t xml:space="preserve">postergando </w:t>
      </w:r>
      <w:r w:rsidRPr="006B0B3E">
        <w:rPr>
          <w:rFonts w:ascii="Verdana" w:hAnsi="Verdana"/>
          <w:bCs/>
          <w:lang w:val="es-ES_tradnl"/>
        </w:rPr>
        <w:t xml:space="preserve">la concreción de aquello que la comunidad ya no quiere que se realice. </w:t>
      </w:r>
    </w:p>
    <w:p w:rsidR="00FF48C8" w:rsidRDefault="00246F55" w:rsidP="009E5DB7">
      <w:pPr>
        <w:numPr>
          <w:ilvl w:val="0"/>
          <w:numId w:val="3"/>
        </w:numPr>
        <w:spacing w:before="120" w:after="0"/>
        <w:ind w:left="851" w:hanging="851"/>
        <w:jc w:val="both"/>
        <w:rPr>
          <w:rFonts w:ascii="Verdana" w:hAnsi="Verdana"/>
          <w:bCs/>
          <w:lang w:val="es-ES_tradnl"/>
        </w:rPr>
      </w:pPr>
      <w:r>
        <w:rPr>
          <w:rFonts w:ascii="Verdana" w:hAnsi="Verdana"/>
          <w:bCs/>
          <w:lang w:val="es-ES_tradnl"/>
        </w:rPr>
        <w:t>Perfeccionar la regulación de actual referida a la vigencia y caducidad de los permisos</w:t>
      </w:r>
      <w:r w:rsidR="00FF48C8">
        <w:rPr>
          <w:rFonts w:ascii="Verdana" w:hAnsi="Verdana"/>
          <w:bCs/>
          <w:lang w:val="es-ES_tradnl"/>
        </w:rPr>
        <w:t xml:space="preserve"> de modo que</w:t>
      </w:r>
      <w:r>
        <w:rPr>
          <w:rFonts w:ascii="Verdana" w:hAnsi="Verdana"/>
          <w:bCs/>
          <w:lang w:val="es-ES_tradnl"/>
        </w:rPr>
        <w:t xml:space="preserve">, </w:t>
      </w:r>
      <w:r w:rsidR="00FF48C8">
        <w:rPr>
          <w:rFonts w:ascii="Verdana" w:hAnsi="Verdana"/>
          <w:bCs/>
          <w:lang w:val="es-ES_tradnl"/>
        </w:rPr>
        <w:t>sin afectar las inversiones asociadas</w:t>
      </w:r>
      <w:r w:rsidR="002774DD" w:rsidRPr="002774DD">
        <w:rPr>
          <w:rFonts w:ascii="Verdana" w:hAnsi="Verdana"/>
          <w:lang w:val="es-ES_tradnl"/>
        </w:rPr>
        <w:t xml:space="preserve"> </w:t>
      </w:r>
      <w:r w:rsidR="002774DD">
        <w:rPr>
          <w:rFonts w:ascii="Verdana" w:hAnsi="Verdana"/>
          <w:bCs/>
          <w:lang w:val="es-ES_tradnl"/>
        </w:rPr>
        <w:t>y la</w:t>
      </w:r>
      <w:r w:rsidR="002774DD" w:rsidRPr="002774DD">
        <w:rPr>
          <w:rFonts w:ascii="Verdana" w:hAnsi="Verdana"/>
          <w:bCs/>
          <w:lang w:val="es-ES_tradnl"/>
        </w:rPr>
        <w:t xml:space="preserve"> certeza jurídica </w:t>
      </w:r>
      <w:bookmarkStart w:id="0" w:name="_GoBack"/>
      <w:bookmarkEnd w:id="0"/>
      <w:r w:rsidR="002774DD" w:rsidRPr="002774DD">
        <w:rPr>
          <w:rFonts w:ascii="Verdana" w:hAnsi="Verdana"/>
          <w:bCs/>
          <w:lang w:val="es-ES_tradnl"/>
        </w:rPr>
        <w:t>en materia de vigencia, caducidad y prórroga de permisos</w:t>
      </w:r>
      <w:r w:rsidR="00FF48C8">
        <w:rPr>
          <w:rFonts w:ascii="Verdana" w:hAnsi="Verdana"/>
          <w:bCs/>
          <w:lang w:val="es-ES_tradnl"/>
        </w:rPr>
        <w:t xml:space="preserve">, se eviten </w:t>
      </w:r>
      <w:r w:rsidR="00696CC6" w:rsidRPr="006B0B3E">
        <w:rPr>
          <w:rFonts w:ascii="Verdana" w:hAnsi="Verdana"/>
          <w:bCs/>
          <w:lang w:val="es-ES_tradnl"/>
        </w:rPr>
        <w:t>prácticas especulativas</w:t>
      </w:r>
      <w:r w:rsidR="00FF48C8">
        <w:rPr>
          <w:rFonts w:ascii="Verdana" w:hAnsi="Verdana"/>
          <w:bCs/>
          <w:lang w:val="es-ES_tradnl"/>
        </w:rPr>
        <w:t xml:space="preserve">, </w:t>
      </w:r>
      <w:r w:rsidR="00862EB8">
        <w:rPr>
          <w:rFonts w:ascii="Verdana" w:hAnsi="Verdana"/>
          <w:bCs/>
          <w:lang w:val="es-ES_tradnl"/>
        </w:rPr>
        <w:t>las que si bien</w:t>
      </w:r>
      <w:r w:rsidR="00FF48C8">
        <w:rPr>
          <w:rFonts w:ascii="Verdana" w:hAnsi="Verdana"/>
          <w:bCs/>
          <w:lang w:val="es-ES_tradnl"/>
        </w:rPr>
        <w:t xml:space="preserve"> se producen en un porcentaje muy menor </w:t>
      </w:r>
      <w:r w:rsidR="00862EB8">
        <w:rPr>
          <w:rFonts w:ascii="Verdana" w:hAnsi="Verdana"/>
          <w:bCs/>
          <w:lang w:val="es-ES_tradnl"/>
        </w:rPr>
        <w:t xml:space="preserve">respecto </w:t>
      </w:r>
      <w:r w:rsidR="00FF48C8">
        <w:rPr>
          <w:rFonts w:ascii="Verdana" w:hAnsi="Verdana"/>
          <w:bCs/>
          <w:lang w:val="es-ES_tradnl"/>
        </w:rPr>
        <w:t>del universo de permisos otorgados</w:t>
      </w:r>
      <w:r w:rsidR="00862EB8">
        <w:rPr>
          <w:rFonts w:ascii="Verdana" w:hAnsi="Verdana"/>
          <w:bCs/>
          <w:lang w:val="es-ES_tradnl"/>
        </w:rPr>
        <w:t>, normalmente tienen gran impacto</w:t>
      </w:r>
      <w:r w:rsidR="00FF48C8">
        <w:rPr>
          <w:rFonts w:ascii="Verdana" w:hAnsi="Verdana"/>
          <w:bCs/>
          <w:lang w:val="es-ES_tradnl"/>
        </w:rPr>
        <w:t>.</w:t>
      </w:r>
    </w:p>
    <w:p w:rsidR="00FF48C8" w:rsidRDefault="00FF48C8" w:rsidP="009E5DB7">
      <w:pPr>
        <w:numPr>
          <w:ilvl w:val="0"/>
          <w:numId w:val="3"/>
        </w:numPr>
        <w:spacing w:before="120" w:after="0"/>
        <w:ind w:left="851" w:hanging="851"/>
        <w:jc w:val="both"/>
        <w:rPr>
          <w:rFonts w:ascii="Verdana" w:hAnsi="Verdana"/>
          <w:bCs/>
          <w:lang w:val="es-ES_tradnl"/>
        </w:rPr>
      </w:pPr>
      <w:r>
        <w:rPr>
          <w:rFonts w:ascii="Verdana" w:hAnsi="Verdana"/>
          <w:bCs/>
          <w:lang w:val="es-ES_tradnl"/>
        </w:rPr>
        <w:t>Descomprimir la carga que representa la normativa actual sobre las Direcciones de Obras Municipales, asociada a la inspección y fiscalización de la vigencia o caducidad de los permisos.</w:t>
      </w:r>
    </w:p>
    <w:p w:rsidR="00C32CF5" w:rsidRPr="00C32CF5" w:rsidRDefault="00C32CF5" w:rsidP="00C32CF5">
      <w:pPr>
        <w:spacing w:before="120" w:after="0"/>
        <w:ind w:left="851"/>
        <w:jc w:val="both"/>
        <w:rPr>
          <w:rFonts w:ascii="Verdana" w:hAnsi="Verdana"/>
          <w:bCs/>
          <w:lang w:val="es-ES_tradnl"/>
        </w:rPr>
      </w:pPr>
    </w:p>
    <w:p w:rsidR="000E07AF" w:rsidRPr="00C70583" w:rsidRDefault="00347D9A" w:rsidP="0016661C">
      <w:pPr>
        <w:numPr>
          <w:ilvl w:val="0"/>
          <w:numId w:val="2"/>
        </w:numPr>
        <w:spacing w:before="120" w:after="0"/>
        <w:ind w:left="851" w:hanging="851"/>
        <w:jc w:val="both"/>
        <w:rPr>
          <w:rFonts w:ascii="Verdana" w:hAnsi="Verdana"/>
          <w:b/>
          <w:bCs/>
          <w:lang w:val="es-ES_tradnl"/>
        </w:rPr>
      </w:pPr>
      <w:r w:rsidRPr="00C70583">
        <w:rPr>
          <w:rFonts w:ascii="Verdana" w:hAnsi="Verdana"/>
          <w:b/>
          <w:bCs/>
          <w:lang w:val="es-ES_tradnl"/>
        </w:rPr>
        <w:t>DESCRIPCIÓN</w:t>
      </w:r>
      <w:r w:rsidR="000E07AF" w:rsidRPr="00C70583">
        <w:rPr>
          <w:rFonts w:ascii="Verdana" w:hAnsi="Verdana"/>
          <w:b/>
          <w:bCs/>
          <w:lang w:val="es-ES_tradnl"/>
        </w:rPr>
        <w:t xml:space="preserve"> DE LA PROPUESTA</w:t>
      </w:r>
    </w:p>
    <w:p w:rsidR="000E07AF" w:rsidRPr="00C70583" w:rsidRDefault="000E07AF" w:rsidP="00311C4D">
      <w:pPr>
        <w:spacing w:before="120" w:after="0"/>
        <w:jc w:val="both"/>
        <w:rPr>
          <w:rFonts w:ascii="Verdana" w:hAnsi="Verdana"/>
          <w:b/>
          <w:bCs/>
          <w:lang w:val="es-ES_tradnl"/>
        </w:rPr>
      </w:pPr>
    </w:p>
    <w:p w:rsidR="00C94058" w:rsidRDefault="000E07AF" w:rsidP="00F37244">
      <w:pPr>
        <w:spacing w:before="120" w:after="0"/>
        <w:jc w:val="both"/>
        <w:rPr>
          <w:rFonts w:ascii="Verdana" w:hAnsi="Verdana"/>
          <w:bCs/>
          <w:lang w:val="es-ES_tradnl"/>
        </w:rPr>
      </w:pPr>
      <w:r w:rsidRPr="00C70583">
        <w:rPr>
          <w:rFonts w:ascii="Verdana" w:hAnsi="Verdana"/>
          <w:bCs/>
          <w:lang w:val="es-ES_tradnl"/>
        </w:rPr>
        <w:t xml:space="preserve">La modificación </w:t>
      </w:r>
      <w:r w:rsidR="00221877">
        <w:rPr>
          <w:rFonts w:ascii="Verdana" w:hAnsi="Verdana"/>
          <w:bCs/>
          <w:lang w:val="es-ES_tradnl"/>
        </w:rPr>
        <w:t>que se presenta,</w:t>
      </w:r>
      <w:r w:rsidRPr="00C70583">
        <w:rPr>
          <w:rFonts w:ascii="Verdana" w:hAnsi="Verdana"/>
          <w:bCs/>
          <w:lang w:val="es-ES_tradnl"/>
        </w:rPr>
        <w:t xml:space="preserve"> </w:t>
      </w:r>
      <w:r w:rsidR="00461BE7">
        <w:rPr>
          <w:rFonts w:ascii="Verdana" w:hAnsi="Verdana"/>
          <w:bCs/>
          <w:lang w:val="es-ES_tradnl"/>
        </w:rPr>
        <w:t>modifica sus art</w:t>
      </w:r>
      <w:r w:rsidR="00C32CF5">
        <w:rPr>
          <w:rFonts w:ascii="Verdana" w:hAnsi="Verdana"/>
          <w:bCs/>
          <w:lang w:val="es-ES_tradnl"/>
        </w:rPr>
        <w:t>ículos 1.4</w:t>
      </w:r>
      <w:r w:rsidR="00461BE7">
        <w:rPr>
          <w:rFonts w:ascii="Verdana" w:hAnsi="Verdana"/>
          <w:bCs/>
          <w:lang w:val="es-ES_tradnl"/>
        </w:rPr>
        <w:t xml:space="preserve">.17. y 5.1.18. </w:t>
      </w:r>
      <w:r w:rsidR="00F37244" w:rsidRPr="00C70583">
        <w:rPr>
          <w:rFonts w:ascii="Verdana" w:hAnsi="Verdana"/>
          <w:bCs/>
          <w:lang w:val="es-ES_tradnl"/>
        </w:rPr>
        <w:t>de la Ordenanza General de Urbanismo y Construcciones</w:t>
      </w:r>
      <w:r w:rsidR="00F37244">
        <w:rPr>
          <w:rFonts w:ascii="Verdana" w:hAnsi="Verdana"/>
          <w:bCs/>
          <w:lang w:val="es-ES_tradnl"/>
        </w:rPr>
        <w:t>.</w:t>
      </w:r>
    </w:p>
    <w:p w:rsidR="0011682A" w:rsidRDefault="00EA5729" w:rsidP="005B46F6">
      <w:pPr>
        <w:spacing w:before="120" w:after="0"/>
        <w:jc w:val="both"/>
        <w:rPr>
          <w:rFonts w:ascii="Verdana" w:hAnsi="Verdana"/>
          <w:bCs/>
          <w:lang w:val="es-ES_tradnl"/>
        </w:rPr>
      </w:pPr>
      <w:r>
        <w:rPr>
          <w:rFonts w:ascii="Verdana" w:hAnsi="Verdana"/>
          <w:bCs/>
          <w:lang w:val="es-ES_tradnl"/>
        </w:rPr>
        <w:t xml:space="preserve">Respecto del </w:t>
      </w:r>
      <w:r w:rsidR="00F37244">
        <w:rPr>
          <w:rFonts w:ascii="Verdana" w:hAnsi="Verdana"/>
          <w:bCs/>
          <w:lang w:val="es-ES_tradnl"/>
        </w:rPr>
        <w:t>artículo 1.4.17.</w:t>
      </w:r>
      <w:r w:rsidR="0011682A">
        <w:rPr>
          <w:rFonts w:ascii="Verdana" w:hAnsi="Verdana"/>
          <w:bCs/>
          <w:lang w:val="es-ES_tradnl"/>
        </w:rPr>
        <w:t xml:space="preserve">, éste </w:t>
      </w:r>
      <w:r>
        <w:rPr>
          <w:rFonts w:ascii="Verdana" w:hAnsi="Verdana"/>
          <w:bCs/>
          <w:lang w:val="es-ES_tradnl"/>
        </w:rPr>
        <w:t>se modific</w:t>
      </w:r>
      <w:r w:rsidR="0016661C">
        <w:rPr>
          <w:rFonts w:ascii="Verdana" w:hAnsi="Verdana"/>
          <w:bCs/>
          <w:lang w:val="es-ES_tradnl"/>
        </w:rPr>
        <w:t xml:space="preserve">a </w:t>
      </w:r>
      <w:r w:rsidR="0011682A">
        <w:rPr>
          <w:rFonts w:ascii="Verdana" w:hAnsi="Verdana"/>
          <w:bCs/>
          <w:lang w:val="es-ES_tradnl"/>
        </w:rPr>
        <w:t>para mantener algunas de sus disposiciones e introducir otras nuevas:</w:t>
      </w:r>
    </w:p>
    <w:p w:rsidR="0011682A" w:rsidRDefault="0011682A" w:rsidP="005B46F6">
      <w:pPr>
        <w:spacing w:before="120" w:after="0"/>
        <w:jc w:val="both"/>
        <w:rPr>
          <w:rFonts w:ascii="Verdana" w:hAnsi="Verdana"/>
          <w:bCs/>
          <w:lang w:val="es-ES_tradnl"/>
        </w:rPr>
      </w:pPr>
    </w:p>
    <w:p w:rsidR="00FF48C8" w:rsidRDefault="00FF48C8" w:rsidP="00D26609">
      <w:pPr>
        <w:numPr>
          <w:ilvl w:val="0"/>
          <w:numId w:val="13"/>
        </w:numPr>
        <w:spacing w:before="120" w:after="0"/>
        <w:ind w:left="567" w:hanging="567"/>
        <w:jc w:val="both"/>
        <w:rPr>
          <w:rFonts w:ascii="Verdana" w:hAnsi="Verdana"/>
          <w:bCs/>
          <w:lang w:val="es-ES_tradnl"/>
        </w:rPr>
      </w:pPr>
      <w:r>
        <w:rPr>
          <w:rFonts w:ascii="Verdana" w:hAnsi="Verdana"/>
          <w:bCs/>
          <w:lang w:val="es-ES_tradnl"/>
        </w:rPr>
        <w:t xml:space="preserve">Mantiene el plazo de tres años, </w:t>
      </w:r>
      <w:r w:rsidRPr="009E5DB7">
        <w:rPr>
          <w:rFonts w:ascii="Verdana" w:hAnsi="Verdana"/>
          <w:bCs/>
          <w:lang w:val="es-ES_tradnl"/>
        </w:rPr>
        <w:t>ya aplicable y aceptado en el ideario colect</w:t>
      </w:r>
      <w:r>
        <w:rPr>
          <w:rFonts w:ascii="Verdana" w:hAnsi="Verdana"/>
          <w:bCs/>
          <w:lang w:val="es-ES_tradnl"/>
        </w:rPr>
        <w:t xml:space="preserve">ivo, pero perfeccionando los controles para evitar </w:t>
      </w:r>
      <w:r w:rsidR="00D26609">
        <w:rPr>
          <w:rFonts w:ascii="Verdana" w:hAnsi="Verdana"/>
          <w:bCs/>
          <w:lang w:val="es-ES_tradnl"/>
        </w:rPr>
        <w:t xml:space="preserve">los </w:t>
      </w:r>
      <w:r>
        <w:rPr>
          <w:rFonts w:ascii="Verdana" w:hAnsi="Verdana"/>
          <w:bCs/>
          <w:lang w:val="es-ES_tradnl"/>
        </w:rPr>
        <w:t>efectos no deseados.</w:t>
      </w:r>
    </w:p>
    <w:p w:rsidR="00D26609" w:rsidRDefault="00D26609" w:rsidP="00D26609">
      <w:pPr>
        <w:numPr>
          <w:ilvl w:val="0"/>
          <w:numId w:val="13"/>
        </w:numPr>
        <w:spacing w:before="120" w:after="0"/>
        <w:ind w:left="567" w:hanging="567"/>
        <w:jc w:val="both"/>
        <w:rPr>
          <w:rFonts w:ascii="Verdana" w:hAnsi="Verdana"/>
          <w:bCs/>
          <w:lang w:val="es-ES_tradnl"/>
        </w:rPr>
      </w:pPr>
      <w:r w:rsidRPr="009E5DB7">
        <w:rPr>
          <w:rFonts w:ascii="Verdana" w:hAnsi="Verdana"/>
          <w:bCs/>
          <w:lang w:val="es-ES_tradnl"/>
        </w:rPr>
        <w:t>Mant</w:t>
      </w:r>
      <w:r>
        <w:rPr>
          <w:rFonts w:ascii="Verdana" w:hAnsi="Verdana"/>
          <w:bCs/>
          <w:lang w:val="es-ES_tradnl"/>
        </w:rPr>
        <w:t>iene</w:t>
      </w:r>
      <w:r w:rsidRPr="009E5DB7">
        <w:rPr>
          <w:rFonts w:ascii="Verdana" w:hAnsi="Verdana"/>
          <w:bCs/>
          <w:lang w:val="es-ES_tradnl"/>
        </w:rPr>
        <w:t xml:space="preserve"> que inicio de las obras es una vez efectuados trazados y comenzadas las excavaciones del proyecto, aspectos que se contemplarán solo para los efectos de inicio contabilización del plazo. </w:t>
      </w:r>
    </w:p>
    <w:p w:rsidR="00D26609" w:rsidRPr="009E5DB7" w:rsidRDefault="00D26609" w:rsidP="00D26609">
      <w:pPr>
        <w:numPr>
          <w:ilvl w:val="0"/>
          <w:numId w:val="13"/>
        </w:numPr>
        <w:spacing w:before="120" w:after="0"/>
        <w:ind w:left="567" w:hanging="567"/>
        <w:jc w:val="both"/>
        <w:rPr>
          <w:rFonts w:ascii="Verdana" w:hAnsi="Verdana"/>
          <w:bCs/>
          <w:lang w:val="es-ES_tradnl"/>
        </w:rPr>
      </w:pPr>
      <w:r>
        <w:rPr>
          <w:rFonts w:ascii="Verdana" w:hAnsi="Verdana"/>
          <w:bCs/>
          <w:lang w:val="es-ES_tradnl"/>
        </w:rPr>
        <w:t>Agrega en tal sentido, qué se entenderá por inicio de las obras en caso de urbanización.</w:t>
      </w:r>
    </w:p>
    <w:p w:rsidR="0011682A" w:rsidRDefault="0011682A" w:rsidP="00D26609">
      <w:pPr>
        <w:pStyle w:val="Prrafodelista"/>
        <w:numPr>
          <w:ilvl w:val="0"/>
          <w:numId w:val="13"/>
        </w:numPr>
        <w:spacing w:before="120" w:after="0"/>
        <w:ind w:left="567" w:hanging="567"/>
        <w:contextualSpacing w:val="0"/>
        <w:jc w:val="both"/>
        <w:rPr>
          <w:rFonts w:ascii="Verdana" w:hAnsi="Verdana"/>
          <w:bCs/>
          <w:lang w:val="es-ES_tradnl"/>
        </w:rPr>
      </w:pPr>
      <w:r>
        <w:rPr>
          <w:rFonts w:ascii="Verdana" w:hAnsi="Verdana"/>
          <w:bCs/>
          <w:lang w:val="es-ES_tradnl"/>
        </w:rPr>
        <w:t>Mant</w:t>
      </w:r>
      <w:r w:rsidR="00FF48C8">
        <w:rPr>
          <w:rFonts w:ascii="Verdana" w:hAnsi="Verdana"/>
          <w:bCs/>
          <w:lang w:val="es-ES_tradnl"/>
        </w:rPr>
        <w:t>iene</w:t>
      </w:r>
      <w:r>
        <w:rPr>
          <w:rFonts w:ascii="Verdana" w:hAnsi="Verdana"/>
          <w:bCs/>
          <w:lang w:val="es-ES_tradnl"/>
        </w:rPr>
        <w:t xml:space="preserve"> la </w:t>
      </w:r>
      <w:r w:rsidRPr="0011682A">
        <w:rPr>
          <w:rFonts w:ascii="Verdana" w:hAnsi="Verdana"/>
          <w:bCs/>
          <w:lang w:val="es-ES_tradnl"/>
        </w:rPr>
        <w:t>Caducidad por no</w:t>
      </w:r>
      <w:r>
        <w:rPr>
          <w:rFonts w:ascii="Verdana" w:hAnsi="Verdana"/>
          <w:bCs/>
          <w:lang w:val="es-ES_tradnl"/>
        </w:rPr>
        <w:t xml:space="preserve"> </w:t>
      </w:r>
      <w:r w:rsidRPr="0011682A">
        <w:rPr>
          <w:rFonts w:ascii="Verdana" w:hAnsi="Verdana"/>
          <w:bCs/>
          <w:lang w:val="es-ES_tradnl"/>
        </w:rPr>
        <w:t>inicio de obras durante</w:t>
      </w:r>
      <w:r>
        <w:rPr>
          <w:rFonts w:ascii="Verdana" w:hAnsi="Verdana"/>
          <w:bCs/>
          <w:lang w:val="es-ES_tradnl"/>
        </w:rPr>
        <w:t xml:space="preserve"> </w:t>
      </w:r>
      <w:r w:rsidR="00FF48C8">
        <w:rPr>
          <w:rFonts w:ascii="Verdana" w:hAnsi="Verdana"/>
          <w:bCs/>
          <w:lang w:val="es-ES_tradnl"/>
        </w:rPr>
        <w:t xml:space="preserve">dicho </w:t>
      </w:r>
      <w:r w:rsidRPr="0011682A">
        <w:rPr>
          <w:rFonts w:ascii="Verdana" w:hAnsi="Verdana"/>
          <w:bCs/>
          <w:lang w:val="es-ES_tradnl"/>
        </w:rPr>
        <w:t>plazo</w:t>
      </w:r>
      <w:r>
        <w:rPr>
          <w:rFonts w:ascii="Verdana" w:hAnsi="Verdana"/>
          <w:bCs/>
          <w:lang w:val="es-ES_tradnl"/>
        </w:rPr>
        <w:t>.</w:t>
      </w:r>
    </w:p>
    <w:p w:rsidR="00FF48C8" w:rsidRPr="00D26609" w:rsidRDefault="00D26609" w:rsidP="00D26609">
      <w:pPr>
        <w:pStyle w:val="Prrafodelista"/>
        <w:numPr>
          <w:ilvl w:val="0"/>
          <w:numId w:val="13"/>
        </w:numPr>
        <w:spacing w:before="120" w:after="0"/>
        <w:ind w:left="567" w:hanging="567"/>
        <w:contextualSpacing w:val="0"/>
        <w:jc w:val="both"/>
        <w:rPr>
          <w:rFonts w:ascii="Verdana" w:hAnsi="Verdana"/>
          <w:bCs/>
          <w:lang w:val="es-ES_tradnl"/>
        </w:rPr>
      </w:pPr>
      <w:r w:rsidRPr="00D26609">
        <w:rPr>
          <w:rFonts w:ascii="Verdana" w:hAnsi="Verdana"/>
          <w:bCs/>
          <w:lang w:val="es-ES_tradnl"/>
        </w:rPr>
        <w:t>Transfiere al propietario, la carga de informar</w:t>
      </w:r>
      <w:r>
        <w:rPr>
          <w:rFonts w:ascii="Verdana" w:hAnsi="Verdana"/>
          <w:bCs/>
          <w:lang w:val="es-ES_tradnl"/>
        </w:rPr>
        <w:t xml:space="preserve"> el inicio de</w:t>
      </w:r>
      <w:r w:rsidR="00FF48C8" w:rsidRPr="00D26609">
        <w:rPr>
          <w:rFonts w:ascii="Verdana" w:hAnsi="Verdana"/>
          <w:bCs/>
          <w:lang w:val="es-ES_tradnl"/>
        </w:rPr>
        <w:t xml:space="preserve"> las obras de un proyecto aprobado por el Director de Obras Municipales, debiendo demostrarse un avance real y sustantivo para que sea procedente la prórroga de un permiso.</w:t>
      </w:r>
    </w:p>
    <w:p w:rsidR="00FF48C8" w:rsidRPr="009E5DB7" w:rsidRDefault="00D26609" w:rsidP="00D26609">
      <w:pPr>
        <w:numPr>
          <w:ilvl w:val="0"/>
          <w:numId w:val="13"/>
        </w:numPr>
        <w:spacing w:before="120" w:after="0"/>
        <w:ind w:left="567" w:hanging="567"/>
        <w:jc w:val="both"/>
        <w:rPr>
          <w:rFonts w:ascii="Verdana" w:hAnsi="Verdana"/>
          <w:bCs/>
          <w:lang w:val="es-ES_tradnl"/>
        </w:rPr>
      </w:pPr>
      <w:r>
        <w:rPr>
          <w:rFonts w:ascii="Verdana" w:hAnsi="Verdana"/>
          <w:bCs/>
          <w:lang w:val="es-ES_tradnl"/>
        </w:rPr>
        <w:t>Establece un mecanismo simple, pero flexible, que f</w:t>
      </w:r>
      <w:r w:rsidR="00FF48C8">
        <w:rPr>
          <w:rFonts w:ascii="Verdana" w:hAnsi="Verdana"/>
          <w:bCs/>
          <w:lang w:val="es-ES_tradnl"/>
        </w:rPr>
        <w:t>acilite la</w:t>
      </w:r>
      <w:r w:rsidR="00FF48C8" w:rsidRPr="009E5DB7">
        <w:rPr>
          <w:rFonts w:ascii="Verdana" w:hAnsi="Verdana"/>
          <w:bCs/>
          <w:lang w:val="es-ES_tradnl"/>
        </w:rPr>
        <w:t xml:space="preserve"> aplicación por </w:t>
      </w:r>
      <w:r w:rsidR="00FF48C8">
        <w:rPr>
          <w:rFonts w:ascii="Verdana" w:hAnsi="Verdana"/>
          <w:bCs/>
          <w:lang w:val="es-ES_tradnl"/>
        </w:rPr>
        <w:t>parte de las Direcciones de Obras Municipales</w:t>
      </w:r>
      <w:r>
        <w:rPr>
          <w:rFonts w:ascii="Verdana" w:hAnsi="Verdana"/>
          <w:bCs/>
          <w:lang w:val="es-ES_tradnl"/>
        </w:rPr>
        <w:t xml:space="preserve"> aplicable a todos los tipos de proyectos, sean de menor o gran tamaño y complejidad</w:t>
      </w:r>
      <w:r w:rsidR="00FF48C8" w:rsidRPr="009E5DB7">
        <w:rPr>
          <w:rFonts w:ascii="Verdana" w:hAnsi="Verdana"/>
          <w:bCs/>
          <w:lang w:val="es-ES_tradnl"/>
        </w:rPr>
        <w:t>.</w:t>
      </w:r>
    </w:p>
    <w:p w:rsidR="00FF48C8" w:rsidRPr="009E5DB7" w:rsidRDefault="00FF48C8" w:rsidP="00D26609">
      <w:pPr>
        <w:numPr>
          <w:ilvl w:val="0"/>
          <w:numId w:val="3"/>
        </w:numPr>
        <w:spacing w:before="120" w:after="0"/>
        <w:ind w:left="567" w:hanging="567"/>
        <w:jc w:val="both"/>
        <w:rPr>
          <w:rFonts w:ascii="Verdana" w:hAnsi="Verdana"/>
          <w:bCs/>
          <w:lang w:val="es-ES_tradnl"/>
        </w:rPr>
      </w:pPr>
      <w:r w:rsidRPr="009E5DB7">
        <w:rPr>
          <w:rFonts w:ascii="Verdana" w:hAnsi="Verdana"/>
          <w:bCs/>
          <w:lang w:val="es-ES_tradnl"/>
        </w:rPr>
        <w:t xml:space="preserve">Transferir al propietario obligación de informar a la </w:t>
      </w:r>
      <w:r>
        <w:rPr>
          <w:rFonts w:ascii="Verdana" w:hAnsi="Verdana"/>
          <w:bCs/>
          <w:lang w:val="es-ES_tradnl"/>
        </w:rPr>
        <w:t xml:space="preserve">Direcciones de Obras Municipales </w:t>
      </w:r>
      <w:r w:rsidRPr="009E5DB7">
        <w:rPr>
          <w:rFonts w:ascii="Verdana" w:hAnsi="Verdana"/>
          <w:bCs/>
          <w:lang w:val="es-ES_tradnl"/>
        </w:rPr>
        <w:t>DOM</w:t>
      </w:r>
      <w:r>
        <w:rPr>
          <w:rFonts w:ascii="Verdana" w:hAnsi="Verdana"/>
          <w:bCs/>
          <w:lang w:val="es-ES_tradnl"/>
        </w:rPr>
        <w:t xml:space="preserve"> el</w:t>
      </w:r>
      <w:r w:rsidRPr="009E5DB7">
        <w:rPr>
          <w:rFonts w:ascii="Verdana" w:hAnsi="Verdana"/>
          <w:bCs/>
          <w:lang w:val="es-ES_tradnl"/>
        </w:rPr>
        <w:t xml:space="preserve"> inicio de las obras y su avance. (obligación al propietario, sin perjuicio de inspección DOM) </w:t>
      </w:r>
    </w:p>
    <w:p w:rsidR="00FF48C8" w:rsidRDefault="00FF48C8" w:rsidP="00D26609">
      <w:pPr>
        <w:numPr>
          <w:ilvl w:val="0"/>
          <w:numId w:val="3"/>
        </w:numPr>
        <w:spacing w:before="120" w:after="0"/>
        <w:ind w:left="567" w:hanging="567"/>
        <w:jc w:val="both"/>
        <w:rPr>
          <w:rFonts w:ascii="Verdana" w:hAnsi="Verdana"/>
          <w:bCs/>
          <w:lang w:val="es-ES_tradnl"/>
        </w:rPr>
      </w:pPr>
      <w:r>
        <w:rPr>
          <w:rFonts w:ascii="Verdana" w:hAnsi="Verdana"/>
          <w:bCs/>
          <w:lang w:val="es-ES_tradnl"/>
        </w:rPr>
        <w:t>Establecer que el p</w:t>
      </w:r>
      <w:r w:rsidRPr="009E5DB7">
        <w:rPr>
          <w:rFonts w:ascii="Verdana" w:hAnsi="Verdana"/>
          <w:bCs/>
          <w:lang w:val="es-ES_tradnl"/>
        </w:rPr>
        <w:t xml:space="preserve">lazo de 3 años de vigencia </w:t>
      </w:r>
      <w:r>
        <w:rPr>
          <w:rFonts w:ascii="Verdana" w:hAnsi="Verdana"/>
          <w:bCs/>
          <w:lang w:val="es-ES_tradnl"/>
        </w:rPr>
        <w:t xml:space="preserve">del permiso </w:t>
      </w:r>
      <w:r w:rsidRPr="009E5DB7">
        <w:rPr>
          <w:rFonts w:ascii="Verdana" w:hAnsi="Verdana"/>
          <w:bCs/>
          <w:lang w:val="es-ES_tradnl"/>
        </w:rPr>
        <w:t>se reduce a 1 año para inicio de obras, si se modifican las normas urbanísticas que afectan al permiso</w:t>
      </w:r>
      <w:r w:rsidR="00D26609">
        <w:rPr>
          <w:rFonts w:ascii="Verdana" w:hAnsi="Verdana"/>
          <w:bCs/>
          <w:lang w:val="es-ES_tradnl"/>
        </w:rPr>
        <w:t xml:space="preserve">, resguardando con ello, la eficacia de los </w:t>
      </w:r>
      <w:r w:rsidR="00313BC9">
        <w:rPr>
          <w:rFonts w:ascii="Verdana" w:hAnsi="Verdana"/>
          <w:bCs/>
          <w:lang w:val="es-ES_tradnl"/>
        </w:rPr>
        <w:t>IPT</w:t>
      </w:r>
      <w:r>
        <w:rPr>
          <w:rFonts w:ascii="Verdana" w:hAnsi="Verdana"/>
          <w:bCs/>
          <w:lang w:val="es-ES_tradnl"/>
        </w:rPr>
        <w:t>.</w:t>
      </w:r>
    </w:p>
    <w:p w:rsidR="00D26609" w:rsidRDefault="00D26609" w:rsidP="00D26609">
      <w:pPr>
        <w:numPr>
          <w:ilvl w:val="0"/>
          <w:numId w:val="3"/>
        </w:numPr>
        <w:spacing w:before="120" w:after="0"/>
        <w:ind w:left="567" w:hanging="567"/>
        <w:jc w:val="both"/>
        <w:rPr>
          <w:rFonts w:ascii="Verdana" w:hAnsi="Verdana"/>
          <w:bCs/>
          <w:lang w:val="es-ES_tradnl"/>
        </w:rPr>
      </w:pPr>
      <w:r>
        <w:rPr>
          <w:rFonts w:ascii="Verdana" w:hAnsi="Verdana"/>
          <w:bCs/>
          <w:lang w:val="es-ES_tradnl"/>
        </w:rPr>
        <w:t>Mantiene la caducidad automática una vez vencidos los plazos, sin perjuicio que la DOM debe declarar la caducidad.</w:t>
      </w:r>
    </w:p>
    <w:p w:rsidR="00D26609" w:rsidRDefault="00D26609" w:rsidP="00D26609">
      <w:pPr>
        <w:numPr>
          <w:ilvl w:val="0"/>
          <w:numId w:val="3"/>
        </w:numPr>
        <w:spacing w:before="120" w:after="0"/>
        <w:ind w:left="567" w:hanging="567"/>
        <w:jc w:val="both"/>
        <w:rPr>
          <w:rFonts w:ascii="Verdana" w:hAnsi="Verdana"/>
          <w:bCs/>
          <w:lang w:val="es-ES_tradnl"/>
        </w:rPr>
      </w:pPr>
      <w:r>
        <w:rPr>
          <w:rFonts w:ascii="Verdana" w:hAnsi="Verdana"/>
          <w:bCs/>
          <w:lang w:val="es-ES_tradnl"/>
        </w:rPr>
        <w:t xml:space="preserve">En cuanto a la Modificación de proyectos, </w:t>
      </w:r>
      <w:r w:rsidR="00313BC9">
        <w:rPr>
          <w:rFonts w:ascii="Verdana" w:hAnsi="Verdana"/>
          <w:bCs/>
          <w:lang w:val="es-ES_tradnl"/>
        </w:rPr>
        <w:t xml:space="preserve">en los casos que se solicite tal actuación, </w:t>
      </w:r>
      <w:r>
        <w:rPr>
          <w:rFonts w:ascii="Verdana" w:hAnsi="Verdana"/>
          <w:bCs/>
          <w:lang w:val="es-ES_tradnl"/>
        </w:rPr>
        <w:t xml:space="preserve">se agregan </w:t>
      </w:r>
      <w:r w:rsidR="00313BC9">
        <w:rPr>
          <w:rFonts w:ascii="Verdana" w:hAnsi="Verdana"/>
          <w:bCs/>
          <w:lang w:val="es-ES_tradnl"/>
        </w:rPr>
        <w:t xml:space="preserve">algunas </w:t>
      </w:r>
      <w:r>
        <w:rPr>
          <w:rFonts w:ascii="Verdana" w:hAnsi="Verdana"/>
          <w:bCs/>
          <w:lang w:val="es-ES_tradnl"/>
        </w:rPr>
        <w:t xml:space="preserve">normas urbanísticas que </w:t>
      </w:r>
      <w:r w:rsidR="00313BC9">
        <w:rPr>
          <w:rFonts w:ascii="Verdana" w:hAnsi="Verdana"/>
          <w:bCs/>
          <w:lang w:val="es-ES_tradnl"/>
        </w:rPr>
        <w:t>se desean resguardar</w:t>
      </w:r>
      <w:r>
        <w:rPr>
          <w:rFonts w:ascii="Verdana" w:hAnsi="Verdana"/>
          <w:bCs/>
          <w:lang w:val="es-ES_tradnl"/>
        </w:rPr>
        <w:t xml:space="preserve"> dentro de un margen acotado, en caso de cambios normativos.</w:t>
      </w:r>
      <w:r w:rsidR="00313BC9">
        <w:rPr>
          <w:rFonts w:ascii="Verdana" w:hAnsi="Verdana"/>
          <w:bCs/>
          <w:lang w:val="es-ES_tradnl"/>
        </w:rPr>
        <w:t xml:space="preserve"> Con ello se espera también dar cumplimiento al objetivo de fortalecer la eficacia a los IPT.</w:t>
      </w:r>
    </w:p>
    <w:p w:rsidR="00C8392C" w:rsidRPr="0085791C" w:rsidRDefault="00C8392C" w:rsidP="00C8392C">
      <w:pPr>
        <w:pStyle w:val="Prrafodelista"/>
        <w:spacing w:before="120" w:after="0"/>
        <w:jc w:val="both"/>
        <w:rPr>
          <w:rFonts w:ascii="Verdana" w:hAnsi="Verdana"/>
          <w:bCs/>
          <w:lang w:val="es-ES_tradnl"/>
        </w:rPr>
      </w:pPr>
    </w:p>
    <w:p w:rsidR="0002463A" w:rsidRPr="0002463A" w:rsidRDefault="0002463A" w:rsidP="005B46F6">
      <w:pPr>
        <w:spacing w:before="120" w:after="0"/>
        <w:jc w:val="both"/>
        <w:rPr>
          <w:rFonts w:ascii="Verdana" w:hAnsi="Verdana"/>
          <w:bCs/>
        </w:rPr>
      </w:pPr>
    </w:p>
    <w:p w:rsidR="000E07AF" w:rsidRDefault="00862EB8" w:rsidP="0016661C">
      <w:pPr>
        <w:numPr>
          <w:ilvl w:val="0"/>
          <w:numId w:val="2"/>
        </w:numPr>
        <w:spacing w:before="120" w:after="0"/>
        <w:ind w:left="851" w:hanging="851"/>
        <w:jc w:val="both"/>
        <w:rPr>
          <w:rFonts w:ascii="Verdana" w:hAnsi="Verdana"/>
          <w:b/>
          <w:bCs/>
          <w:lang w:val="es-ES_tradnl"/>
        </w:rPr>
      </w:pPr>
      <w:r>
        <w:rPr>
          <w:rFonts w:ascii="Verdana" w:hAnsi="Verdana"/>
          <w:b/>
          <w:bCs/>
          <w:lang w:val="es-ES_tradnl"/>
        </w:rPr>
        <w:t>PARTICIPACIÓN PREVIA</w:t>
      </w:r>
    </w:p>
    <w:p w:rsidR="00D26609" w:rsidRPr="00181719" w:rsidRDefault="00D26609" w:rsidP="00D26609">
      <w:pPr>
        <w:spacing w:before="120" w:after="0"/>
        <w:ind w:left="851"/>
        <w:jc w:val="both"/>
        <w:rPr>
          <w:rFonts w:ascii="Verdana" w:hAnsi="Verdana"/>
          <w:b/>
          <w:bCs/>
          <w:lang w:val="es-ES_tradnl"/>
        </w:rPr>
      </w:pPr>
    </w:p>
    <w:p w:rsidR="008E3726" w:rsidRDefault="00862EB8" w:rsidP="00862EB8">
      <w:pPr>
        <w:spacing w:before="120" w:after="0"/>
        <w:jc w:val="both"/>
        <w:rPr>
          <w:rFonts w:ascii="Verdana" w:hAnsi="Verdana"/>
          <w:bCs/>
          <w:lang w:val="es-CL"/>
        </w:rPr>
      </w:pPr>
      <w:r>
        <w:rPr>
          <w:rFonts w:ascii="Verdana" w:hAnsi="Verdana"/>
          <w:bCs/>
          <w:lang w:val="es-CL"/>
        </w:rPr>
        <w:t>La elaboración de la propuesta de decreto sometido a consulta ciudadana,</w:t>
      </w:r>
      <w:r w:rsidRPr="00862EB8">
        <w:rPr>
          <w:rFonts w:ascii="Verdana" w:hAnsi="Verdana"/>
          <w:bCs/>
          <w:lang w:val="es-CL"/>
        </w:rPr>
        <w:t xml:space="preserve"> tuvo </w:t>
      </w:r>
      <w:r w:rsidR="008E3726">
        <w:rPr>
          <w:rFonts w:ascii="Verdana" w:hAnsi="Verdana"/>
          <w:bCs/>
          <w:lang w:val="es-CL"/>
        </w:rPr>
        <w:t xml:space="preserve">previamente otro </w:t>
      </w:r>
      <w:r w:rsidRPr="00862EB8">
        <w:rPr>
          <w:rFonts w:ascii="Verdana" w:hAnsi="Verdana"/>
          <w:bCs/>
          <w:lang w:val="es-CL"/>
        </w:rPr>
        <w:t xml:space="preserve">proceso de participación, que se efectuó inmediatamente después de anunciadas las medidas para anticorrupción. </w:t>
      </w:r>
    </w:p>
    <w:p w:rsidR="00862EB8" w:rsidRPr="00862EB8" w:rsidRDefault="00862EB8" w:rsidP="00862EB8">
      <w:pPr>
        <w:spacing w:before="120" w:after="0"/>
        <w:jc w:val="both"/>
        <w:rPr>
          <w:rFonts w:ascii="Verdana" w:hAnsi="Verdana"/>
          <w:bCs/>
          <w:lang w:val="es-CL"/>
        </w:rPr>
      </w:pPr>
      <w:r w:rsidRPr="00862EB8">
        <w:rPr>
          <w:rFonts w:ascii="Verdana" w:hAnsi="Verdana"/>
          <w:bCs/>
          <w:lang w:val="es-CL"/>
        </w:rPr>
        <w:t xml:space="preserve">En efecto, con fecha 11 de mayo de 2015 se envió una propuesta de modificación a la Ordenanza General de Urbanismo y Construcciones, específicamente a los artículos 1.4.17. y 5.1.18., a las siguientes organizaciones: </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 xml:space="preserve">Colegio de Arquitectos </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 xml:space="preserve">Asociación Chilena de Municipalidades </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Asociación de Municipalidades de Chile</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 xml:space="preserve">Asociación </w:t>
      </w:r>
      <w:r w:rsidR="00862EB8" w:rsidRPr="00862EB8">
        <w:rPr>
          <w:rFonts w:ascii="Verdana" w:hAnsi="Verdana"/>
          <w:bCs/>
          <w:lang w:val="es-CL"/>
        </w:rPr>
        <w:t xml:space="preserve">de </w:t>
      </w:r>
      <w:r w:rsidRPr="00862EB8">
        <w:rPr>
          <w:rFonts w:ascii="Verdana" w:hAnsi="Verdana"/>
          <w:bCs/>
          <w:lang w:val="es-CL"/>
        </w:rPr>
        <w:t>Direcciones de Obras</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Asociación de Oficinas de Arquitectos</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Asociación de D</w:t>
      </w:r>
      <w:r w:rsidR="00862EB8" w:rsidRPr="00862EB8">
        <w:rPr>
          <w:rFonts w:ascii="Verdana" w:hAnsi="Verdana"/>
          <w:bCs/>
          <w:lang w:val="es-CL"/>
        </w:rPr>
        <w:t>esarrolladores Inmobiliarios</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Cámara Chilena de la Construcción </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Corporación Ciudad Viva</w:t>
      </w:r>
    </w:p>
    <w:p w:rsidR="00AE4359" w:rsidRPr="00862EB8" w:rsidRDefault="003520DE" w:rsidP="00862EB8">
      <w:pPr>
        <w:numPr>
          <w:ilvl w:val="0"/>
          <w:numId w:val="14"/>
        </w:numPr>
        <w:spacing w:before="120" w:after="0"/>
        <w:jc w:val="both"/>
        <w:rPr>
          <w:rFonts w:ascii="Verdana" w:hAnsi="Verdana"/>
          <w:bCs/>
          <w:lang w:val="es-CL"/>
        </w:rPr>
      </w:pPr>
      <w:r w:rsidRPr="00862EB8">
        <w:rPr>
          <w:rFonts w:ascii="Verdana" w:hAnsi="Verdana"/>
          <w:bCs/>
          <w:lang w:val="es-CL"/>
        </w:rPr>
        <w:t>Fundación Defendamos la ciudad</w:t>
      </w:r>
    </w:p>
    <w:p w:rsidR="00AE4359" w:rsidRPr="00862EB8" w:rsidRDefault="00862EB8" w:rsidP="00862EB8">
      <w:pPr>
        <w:numPr>
          <w:ilvl w:val="0"/>
          <w:numId w:val="14"/>
        </w:numPr>
        <w:spacing w:before="120" w:after="0"/>
        <w:jc w:val="both"/>
        <w:rPr>
          <w:rFonts w:ascii="Verdana" w:hAnsi="Verdana"/>
          <w:bCs/>
          <w:lang w:val="es-CL"/>
        </w:rPr>
      </w:pPr>
      <w:r w:rsidRPr="00862EB8">
        <w:rPr>
          <w:rFonts w:ascii="Verdana" w:hAnsi="Verdana"/>
          <w:bCs/>
          <w:lang w:val="es-CL"/>
        </w:rPr>
        <w:t xml:space="preserve">Asociación Nacional de </w:t>
      </w:r>
      <w:r w:rsidR="003520DE" w:rsidRPr="00862EB8">
        <w:rPr>
          <w:rFonts w:ascii="Verdana" w:hAnsi="Verdana"/>
          <w:bCs/>
          <w:lang w:val="es-CL"/>
        </w:rPr>
        <w:t>Revisores independientes </w:t>
      </w:r>
    </w:p>
    <w:p w:rsidR="007C7A2F" w:rsidRDefault="007C7A2F" w:rsidP="00862EB8">
      <w:pPr>
        <w:spacing w:before="120" w:after="0"/>
        <w:jc w:val="both"/>
        <w:rPr>
          <w:rFonts w:ascii="Verdana" w:hAnsi="Verdana"/>
          <w:bCs/>
          <w:lang w:val="es-CL"/>
        </w:rPr>
      </w:pPr>
    </w:p>
    <w:p w:rsidR="00862EB8" w:rsidRPr="00862EB8" w:rsidRDefault="00862EB8" w:rsidP="00862EB8">
      <w:pPr>
        <w:spacing w:before="120" w:after="0"/>
        <w:jc w:val="both"/>
        <w:rPr>
          <w:rFonts w:ascii="Verdana" w:hAnsi="Verdana"/>
          <w:bCs/>
          <w:lang w:val="es-CL"/>
        </w:rPr>
      </w:pPr>
      <w:r w:rsidRPr="00862EB8">
        <w:rPr>
          <w:rFonts w:ascii="Verdana" w:hAnsi="Verdana"/>
          <w:bCs/>
          <w:lang w:val="es-CL"/>
        </w:rPr>
        <w:t>Posteriormente</w:t>
      </w:r>
      <w:r w:rsidR="008E3726">
        <w:rPr>
          <w:rFonts w:ascii="Verdana" w:hAnsi="Verdana"/>
          <w:bCs/>
          <w:lang w:val="es-CL"/>
        </w:rPr>
        <w:t>,</w:t>
      </w:r>
      <w:r w:rsidRPr="00862EB8">
        <w:rPr>
          <w:rFonts w:ascii="Verdana" w:hAnsi="Verdana"/>
          <w:bCs/>
          <w:lang w:val="es-CL"/>
        </w:rPr>
        <w:t xml:space="preserve"> la gran mayoría de dichas organizaciones envió observaciones y propuestas, las que se discutieron en una reunión efectuada en el Ministerio de Vivienda y Urbanismo el día 20 de mayo de 2015.</w:t>
      </w:r>
    </w:p>
    <w:p w:rsidR="007C7A2F" w:rsidRDefault="007C7A2F" w:rsidP="00B77254">
      <w:pPr>
        <w:spacing w:before="120" w:after="0"/>
        <w:jc w:val="both"/>
        <w:rPr>
          <w:rFonts w:ascii="Verdana" w:hAnsi="Verdana"/>
          <w:bCs/>
          <w:lang w:val="es-CL"/>
        </w:rPr>
      </w:pPr>
    </w:p>
    <w:p w:rsidR="00B77254" w:rsidRPr="00862EB8" w:rsidRDefault="008E3726" w:rsidP="00B77254">
      <w:pPr>
        <w:spacing w:before="120" w:after="0"/>
        <w:jc w:val="both"/>
        <w:rPr>
          <w:rFonts w:ascii="Verdana" w:hAnsi="Verdana"/>
          <w:bCs/>
          <w:lang w:val="es-CL"/>
        </w:rPr>
      </w:pPr>
      <w:r>
        <w:rPr>
          <w:rFonts w:ascii="Verdana" w:hAnsi="Verdana"/>
          <w:bCs/>
          <w:lang w:val="es-CL"/>
        </w:rPr>
        <w:t xml:space="preserve">Al reiniciar la discusión de esta modificación, se han tenido presentes dichos aportes, en conformidad </w:t>
      </w:r>
      <w:r w:rsidRPr="008E3726">
        <w:rPr>
          <w:rFonts w:ascii="Verdana" w:hAnsi="Verdana"/>
          <w:bCs/>
          <w:lang w:val="es-ES_tradnl"/>
        </w:rPr>
        <w:t>a lo dispuesto en el artículo 3° de la Ley General de Urbanismo y Construcciones</w:t>
      </w:r>
      <w:r>
        <w:rPr>
          <w:rFonts w:ascii="Verdana" w:hAnsi="Verdana"/>
          <w:bCs/>
          <w:lang w:val="es-ES_tradnl"/>
        </w:rPr>
        <w:t xml:space="preserve">, que faculta al Ministerio de Vivienda y Urbanismo </w:t>
      </w:r>
      <w:r w:rsidRPr="008E3726">
        <w:rPr>
          <w:rFonts w:ascii="Verdana" w:hAnsi="Verdana"/>
          <w:bCs/>
          <w:lang w:val="es-CL"/>
        </w:rPr>
        <w:t xml:space="preserve"> </w:t>
      </w:r>
      <w:r>
        <w:rPr>
          <w:rFonts w:ascii="Verdana" w:hAnsi="Verdana"/>
          <w:bCs/>
          <w:lang w:val="es-CL"/>
        </w:rPr>
        <w:t xml:space="preserve">para </w:t>
      </w:r>
      <w:r w:rsidRPr="008E3726">
        <w:rPr>
          <w:rFonts w:ascii="Verdana" w:hAnsi="Verdana"/>
          <w:bCs/>
          <w:lang w:val="es-ES_tradnl"/>
        </w:rPr>
        <w:t>oí</w:t>
      </w:r>
      <w:r>
        <w:rPr>
          <w:rFonts w:ascii="Verdana" w:hAnsi="Verdana"/>
          <w:bCs/>
          <w:lang w:val="es-ES_tradnl"/>
        </w:rPr>
        <w:t>r</w:t>
      </w:r>
      <w:r w:rsidRPr="008E3726">
        <w:rPr>
          <w:rFonts w:ascii="Verdana" w:hAnsi="Verdana"/>
          <w:bCs/>
          <w:lang w:val="es-ES_tradnl"/>
        </w:rPr>
        <w:t xml:space="preserve"> para</w:t>
      </w:r>
      <w:r>
        <w:rPr>
          <w:rFonts w:ascii="Verdana" w:hAnsi="Verdana"/>
          <w:bCs/>
          <w:lang w:val="es-ES_tradnl"/>
        </w:rPr>
        <w:t xml:space="preserve"> a los respectivos Colegios Profesionales y asesorarse por los técnicos que estime conveniente.</w:t>
      </w:r>
    </w:p>
    <w:sectPr w:rsidR="00B77254" w:rsidRPr="00862EB8" w:rsidSect="00B77254">
      <w:headerReference w:type="default" r:id="rId9"/>
      <w:footerReference w:type="default" r:id="rId10"/>
      <w:pgSz w:w="12240" w:h="18720" w:code="14"/>
      <w:pgMar w:top="2694" w:right="1701" w:bottom="851" w:left="1701"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3D" w:rsidRDefault="00D2053D" w:rsidP="000E07AF">
      <w:pPr>
        <w:spacing w:after="0" w:line="240" w:lineRule="auto"/>
      </w:pPr>
      <w:r>
        <w:separator/>
      </w:r>
    </w:p>
  </w:endnote>
  <w:endnote w:type="continuationSeparator" w:id="0">
    <w:p w:rsidR="00D2053D" w:rsidRDefault="00D2053D" w:rsidP="000E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958942"/>
      <w:docPartObj>
        <w:docPartGallery w:val="Page Numbers (Bottom of Page)"/>
        <w:docPartUnique/>
      </w:docPartObj>
    </w:sdtPr>
    <w:sdtEndPr>
      <w:rPr>
        <w:rFonts w:ascii="Verdana" w:hAnsi="Verdana"/>
      </w:rPr>
    </w:sdtEndPr>
    <w:sdtContent>
      <w:p w:rsidR="00DF1305" w:rsidRPr="00905914" w:rsidRDefault="00DF1305">
        <w:pPr>
          <w:pStyle w:val="Piedepgina"/>
          <w:jc w:val="right"/>
          <w:rPr>
            <w:rFonts w:ascii="Verdana" w:hAnsi="Verdana"/>
          </w:rPr>
        </w:pPr>
        <w:r w:rsidRPr="00905914">
          <w:rPr>
            <w:rFonts w:ascii="Verdana" w:hAnsi="Verdana"/>
          </w:rPr>
          <w:fldChar w:fldCharType="begin"/>
        </w:r>
        <w:r w:rsidRPr="00905914">
          <w:rPr>
            <w:rFonts w:ascii="Verdana" w:hAnsi="Verdana"/>
          </w:rPr>
          <w:instrText>PAGE   \* MERGEFORMAT</w:instrText>
        </w:r>
        <w:r w:rsidRPr="00905914">
          <w:rPr>
            <w:rFonts w:ascii="Verdana" w:hAnsi="Verdana"/>
          </w:rPr>
          <w:fldChar w:fldCharType="separate"/>
        </w:r>
        <w:r w:rsidR="00D2053D">
          <w:rPr>
            <w:rFonts w:ascii="Verdana" w:hAnsi="Verdana"/>
            <w:noProof/>
          </w:rPr>
          <w:t>1</w:t>
        </w:r>
        <w:r w:rsidRPr="00905914">
          <w:rPr>
            <w:rFonts w:ascii="Verdana" w:hAnsi="Verdana"/>
          </w:rPr>
          <w:fldChar w:fldCharType="end"/>
        </w:r>
      </w:p>
    </w:sdtContent>
  </w:sdt>
  <w:p w:rsidR="00DF1305" w:rsidRDefault="00DF13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3D" w:rsidRDefault="00D2053D" w:rsidP="000E07AF">
      <w:pPr>
        <w:spacing w:after="0" w:line="240" w:lineRule="auto"/>
      </w:pPr>
      <w:r>
        <w:separator/>
      </w:r>
    </w:p>
  </w:footnote>
  <w:footnote w:type="continuationSeparator" w:id="0">
    <w:p w:rsidR="00D2053D" w:rsidRDefault="00D2053D" w:rsidP="000E0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05" w:rsidRPr="009565B8" w:rsidRDefault="00DF1305" w:rsidP="003F453C">
    <w:pPr>
      <w:spacing w:after="0"/>
      <w:jc w:val="right"/>
      <w:rPr>
        <w:rStyle w:val="nfasis"/>
        <w:rFonts w:ascii="Arial" w:hAnsi="Arial" w:cs="Arial"/>
        <w:i w:val="0"/>
        <w:sz w:val="16"/>
        <w:szCs w:val="16"/>
      </w:rPr>
    </w:pPr>
    <w:r>
      <w:rPr>
        <w:noProof/>
        <w:lang w:val="es-CL" w:eastAsia="es-CL"/>
      </w:rPr>
      <w:drawing>
        <wp:anchor distT="0" distB="0" distL="114300" distR="114300" simplePos="0" relativeHeight="251657216" behindDoc="0" locked="0" layoutInCell="1" allowOverlap="1" wp14:anchorId="6D5DD52D" wp14:editId="43C81390">
          <wp:simplePos x="0" y="0"/>
          <wp:positionH relativeFrom="column">
            <wp:posOffset>-3810</wp:posOffset>
          </wp:positionH>
          <wp:positionV relativeFrom="paragraph">
            <wp:posOffset>0</wp:posOffset>
          </wp:positionV>
          <wp:extent cx="923925" cy="923925"/>
          <wp:effectExtent l="0" t="0" r="9525" b="9525"/>
          <wp:wrapNone/>
          <wp:docPr id="1" name="Imagen 1"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vienda-y-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t xml:space="preserve"> </w:t>
    </w:r>
    <w:r>
      <w:rPr>
        <w:noProof/>
        <w:lang w:eastAsia="es-ES"/>
      </w:rPr>
      <w:tab/>
    </w:r>
    <w:r w:rsidRPr="009565B8">
      <w:rPr>
        <w:rStyle w:val="nfasis"/>
        <w:rFonts w:ascii="Arial" w:hAnsi="Arial" w:cs="Arial"/>
        <w:i w:val="0"/>
        <w:sz w:val="16"/>
        <w:szCs w:val="16"/>
      </w:rPr>
      <w:t>Ministerio de Vivienda y Urbanismo</w:t>
    </w:r>
  </w:p>
  <w:p w:rsidR="00DF1305" w:rsidRPr="009565B8" w:rsidRDefault="00DF1305" w:rsidP="003F453C">
    <w:pPr>
      <w:spacing w:after="0"/>
      <w:jc w:val="right"/>
      <w:rPr>
        <w:rStyle w:val="nfasis"/>
        <w:rFonts w:ascii="Arial" w:hAnsi="Arial" w:cs="Arial"/>
        <w:i w:val="0"/>
        <w:sz w:val="16"/>
        <w:szCs w:val="16"/>
      </w:rPr>
    </w:pPr>
    <w:r w:rsidRPr="009565B8">
      <w:rPr>
        <w:rStyle w:val="nfasis"/>
        <w:rFonts w:ascii="Arial" w:hAnsi="Arial" w:cs="Arial"/>
        <w:i w:val="0"/>
        <w:sz w:val="16"/>
        <w:szCs w:val="16"/>
      </w:rPr>
      <w:t>División de Desarrollo Urbano</w:t>
    </w:r>
  </w:p>
  <w:p w:rsidR="00DF1305" w:rsidRPr="009565B8" w:rsidRDefault="007F0603" w:rsidP="003F453C">
    <w:pPr>
      <w:spacing w:after="0"/>
      <w:jc w:val="right"/>
      <w:rPr>
        <w:rStyle w:val="nfasis"/>
        <w:rFonts w:ascii="Arial" w:hAnsi="Arial" w:cs="Arial"/>
        <w:i w:val="0"/>
        <w:sz w:val="16"/>
        <w:szCs w:val="16"/>
      </w:rPr>
    </w:pPr>
    <w:r>
      <w:rPr>
        <w:rStyle w:val="nfasis"/>
        <w:rFonts w:ascii="Arial" w:hAnsi="Arial" w:cs="Arial"/>
        <w:i w:val="0"/>
        <w:sz w:val="16"/>
        <w:szCs w:val="16"/>
      </w:rPr>
      <w:t xml:space="preserve">Agosto </w:t>
    </w:r>
    <w:r w:rsidR="00DF1305">
      <w:rPr>
        <w:rStyle w:val="nfasis"/>
        <w:rFonts w:ascii="Arial" w:hAnsi="Arial" w:cs="Arial"/>
        <w:i w:val="0"/>
        <w:sz w:val="16"/>
        <w:szCs w:val="16"/>
      </w:rPr>
      <w:t>2017</w:t>
    </w:r>
  </w:p>
  <w:p w:rsidR="00DF1305" w:rsidRDefault="00DF1305">
    <w:pPr>
      <w:pStyle w:val="Encabezado"/>
    </w:pPr>
  </w:p>
  <w:p w:rsidR="00DF1305" w:rsidRDefault="00DF1305">
    <w:pPr>
      <w:pStyle w:val="Encabezado"/>
    </w:pPr>
  </w:p>
  <w:p w:rsidR="00DF1305" w:rsidRDefault="00DF13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47A"/>
    <w:multiLevelType w:val="hybridMultilevel"/>
    <w:tmpl w:val="DD6616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825AF8"/>
    <w:multiLevelType w:val="hybridMultilevel"/>
    <w:tmpl w:val="C3ECB06A"/>
    <w:lvl w:ilvl="0" w:tplc="7B32B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55DDD"/>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nsid w:val="20883A02"/>
    <w:multiLevelType w:val="hybridMultilevel"/>
    <w:tmpl w:val="1E724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AD3F9F"/>
    <w:multiLevelType w:val="multilevel"/>
    <w:tmpl w:val="CED0BC5E"/>
    <w:lvl w:ilvl="0">
      <w:start w:val="1"/>
      <w:numFmt w:val="decimal"/>
      <w:lvlText w:val="%1."/>
      <w:lvlJc w:val="left"/>
      <w:pPr>
        <w:ind w:left="360" w:hanging="360"/>
      </w:pPr>
    </w:lvl>
    <w:lvl w:ilvl="1">
      <w:start w:val="1"/>
      <w:numFmt w:val="decimal"/>
      <w:lvlText w:val="%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DE2473"/>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C77A47"/>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DB54D1"/>
    <w:multiLevelType w:val="hybridMultilevel"/>
    <w:tmpl w:val="1576BA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F91DD0"/>
    <w:multiLevelType w:val="hybridMultilevel"/>
    <w:tmpl w:val="FDCE8700"/>
    <w:lvl w:ilvl="0" w:tplc="340A0001">
      <w:start w:val="1"/>
      <w:numFmt w:val="bullet"/>
      <w:lvlText w:val=""/>
      <w:lvlJc w:val="left"/>
      <w:pPr>
        <w:ind w:left="656" w:hanging="360"/>
      </w:pPr>
      <w:rPr>
        <w:rFonts w:ascii="Symbol" w:hAnsi="Symbol" w:hint="default"/>
      </w:rPr>
    </w:lvl>
    <w:lvl w:ilvl="1" w:tplc="340A0003" w:tentative="1">
      <w:start w:val="1"/>
      <w:numFmt w:val="bullet"/>
      <w:lvlText w:val="o"/>
      <w:lvlJc w:val="left"/>
      <w:pPr>
        <w:ind w:left="1376" w:hanging="360"/>
      </w:pPr>
      <w:rPr>
        <w:rFonts w:ascii="Courier New" w:hAnsi="Courier New" w:cs="Courier New" w:hint="default"/>
      </w:rPr>
    </w:lvl>
    <w:lvl w:ilvl="2" w:tplc="340A0005" w:tentative="1">
      <w:start w:val="1"/>
      <w:numFmt w:val="bullet"/>
      <w:lvlText w:val=""/>
      <w:lvlJc w:val="left"/>
      <w:pPr>
        <w:ind w:left="2096" w:hanging="360"/>
      </w:pPr>
      <w:rPr>
        <w:rFonts w:ascii="Wingdings" w:hAnsi="Wingdings" w:hint="default"/>
      </w:rPr>
    </w:lvl>
    <w:lvl w:ilvl="3" w:tplc="340A0001" w:tentative="1">
      <w:start w:val="1"/>
      <w:numFmt w:val="bullet"/>
      <w:lvlText w:val=""/>
      <w:lvlJc w:val="left"/>
      <w:pPr>
        <w:ind w:left="2816" w:hanging="360"/>
      </w:pPr>
      <w:rPr>
        <w:rFonts w:ascii="Symbol" w:hAnsi="Symbol" w:hint="default"/>
      </w:rPr>
    </w:lvl>
    <w:lvl w:ilvl="4" w:tplc="340A0003" w:tentative="1">
      <w:start w:val="1"/>
      <w:numFmt w:val="bullet"/>
      <w:lvlText w:val="o"/>
      <w:lvlJc w:val="left"/>
      <w:pPr>
        <w:ind w:left="3536" w:hanging="360"/>
      </w:pPr>
      <w:rPr>
        <w:rFonts w:ascii="Courier New" w:hAnsi="Courier New" w:cs="Courier New" w:hint="default"/>
      </w:rPr>
    </w:lvl>
    <w:lvl w:ilvl="5" w:tplc="340A0005" w:tentative="1">
      <w:start w:val="1"/>
      <w:numFmt w:val="bullet"/>
      <w:lvlText w:val=""/>
      <w:lvlJc w:val="left"/>
      <w:pPr>
        <w:ind w:left="4256" w:hanging="360"/>
      </w:pPr>
      <w:rPr>
        <w:rFonts w:ascii="Wingdings" w:hAnsi="Wingdings" w:hint="default"/>
      </w:rPr>
    </w:lvl>
    <w:lvl w:ilvl="6" w:tplc="340A0001" w:tentative="1">
      <w:start w:val="1"/>
      <w:numFmt w:val="bullet"/>
      <w:lvlText w:val=""/>
      <w:lvlJc w:val="left"/>
      <w:pPr>
        <w:ind w:left="4976" w:hanging="360"/>
      </w:pPr>
      <w:rPr>
        <w:rFonts w:ascii="Symbol" w:hAnsi="Symbol" w:hint="default"/>
      </w:rPr>
    </w:lvl>
    <w:lvl w:ilvl="7" w:tplc="340A0003" w:tentative="1">
      <w:start w:val="1"/>
      <w:numFmt w:val="bullet"/>
      <w:lvlText w:val="o"/>
      <w:lvlJc w:val="left"/>
      <w:pPr>
        <w:ind w:left="5696" w:hanging="360"/>
      </w:pPr>
      <w:rPr>
        <w:rFonts w:ascii="Courier New" w:hAnsi="Courier New" w:cs="Courier New" w:hint="default"/>
      </w:rPr>
    </w:lvl>
    <w:lvl w:ilvl="8" w:tplc="340A0005" w:tentative="1">
      <w:start w:val="1"/>
      <w:numFmt w:val="bullet"/>
      <w:lvlText w:val=""/>
      <w:lvlJc w:val="left"/>
      <w:pPr>
        <w:ind w:left="6416" w:hanging="360"/>
      </w:pPr>
      <w:rPr>
        <w:rFonts w:ascii="Wingdings" w:hAnsi="Wingdings" w:hint="default"/>
      </w:rPr>
    </w:lvl>
  </w:abstractNum>
  <w:abstractNum w:abstractNumId="9">
    <w:nsid w:val="591373A5"/>
    <w:multiLevelType w:val="hybridMultilevel"/>
    <w:tmpl w:val="9C2A9D16"/>
    <w:lvl w:ilvl="0" w:tplc="C77A0672">
      <w:start w:val="3"/>
      <w:numFmt w:val="decimal"/>
      <w:lvlText w:val="%1."/>
      <w:lvlJc w:val="left"/>
      <w:pPr>
        <w:tabs>
          <w:tab w:val="num" w:pos="720"/>
        </w:tabs>
        <w:ind w:left="720" w:hanging="360"/>
      </w:pPr>
    </w:lvl>
    <w:lvl w:ilvl="1" w:tplc="AB2A132A" w:tentative="1">
      <w:start w:val="1"/>
      <w:numFmt w:val="decimal"/>
      <w:lvlText w:val="%2."/>
      <w:lvlJc w:val="left"/>
      <w:pPr>
        <w:tabs>
          <w:tab w:val="num" w:pos="1440"/>
        </w:tabs>
        <w:ind w:left="1440" w:hanging="360"/>
      </w:pPr>
    </w:lvl>
    <w:lvl w:ilvl="2" w:tplc="9E70D6B4" w:tentative="1">
      <w:start w:val="1"/>
      <w:numFmt w:val="decimal"/>
      <w:lvlText w:val="%3."/>
      <w:lvlJc w:val="left"/>
      <w:pPr>
        <w:tabs>
          <w:tab w:val="num" w:pos="2160"/>
        </w:tabs>
        <w:ind w:left="2160" w:hanging="360"/>
      </w:pPr>
    </w:lvl>
    <w:lvl w:ilvl="3" w:tplc="5D8C31EA" w:tentative="1">
      <w:start w:val="1"/>
      <w:numFmt w:val="decimal"/>
      <w:lvlText w:val="%4."/>
      <w:lvlJc w:val="left"/>
      <w:pPr>
        <w:tabs>
          <w:tab w:val="num" w:pos="2880"/>
        </w:tabs>
        <w:ind w:left="2880" w:hanging="360"/>
      </w:pPr>
    </w:lvl>
    <w:lvl w:ilvl="4" w:tplc="596E2B80" w:tentative="1">
      <w:start w:val="1"/>
      <w:numFmt w:val="decimal"/>
      <w:lvlText w:val="%5."/>
      <w:lvlJc w:val="left"/>
      <w:pPr>
        <w:tabs>
          <w:tab w:val="num" w:pos="3600"/>
        </w:tabs>
        <w:ind w:left="3600" w:hanging="360"/>
      </w:pPr>
    </w:lvl>
    <w:lvl w:ilvl="5" w:tplc="365CF7F4" w:tentative="1">
      <w:start w:val="1"/>
      <w:numFmt w:val="decimal"/>
      <w:lvlText w:val="%6."/>
      <w:lvlJc w:val="left"/>
      <w:pPr>
        <w:tabs>
          <w:tab w:val="num" w:pos="4320"/>
        </w:tabs>
        <w:ind w:left="4320" w:hanging="360"/>
      </w:pPr>
    </w:lvl>
    <w:lvl w:ilvl="6" w:tplc="DAE07CCE" w:tentative="1">
      <w:start w:val="1"/>
      <w:numFmt w:val="decimal"/>
      <w:lvlText w:val="%7."/>
      <w:lvlJc w:val="left"/>
      <w:pPr>
        <w:tabs>
          <w:tab w:val="num" w:pos="5040"/>
        </w:tabs>
        <w:ind w:left="5040" w:hanging="360"/>
      </w:pPr>
    </w:lvl>
    <w:lvl w:ilvl="7" w:tplc="66402DA4" w:tentative="1">
      <w:start w:val="1"/>
      <w:numFmt w:val="decimal"/>
      <w:lvlText w:val="%8."/>
      <w:lvlJc w:val="left"/>
      <w:pPr>
        <w:tabs>
          <w:tab w:val="num" w:pos="5760"/>
        </w:tabs>
        <w:ind w:left="5760" w:hanging="360"/>
      </w:pPr>
    </w:lvl>
    <w:lvl w:ilvl="8" w:tplc="346C6A52" w:tentative="1">
      <w:start w:val="1"/>
      <w:numFmt w:val="decimal"/>
      <w:lvlText w:val="%9."/>
      <w:lvlJc w:val="left"/>
      <w:pPr>
        <w:tabs>
          <w:tab w:val="num" w:pos="6480"/>
        </w:tabs>
        <w:ind w:left="6480" w:hanging="360"/>
      </w:pPr>
    </w:lvl>
  </w:abstractNum>
  <w:abstractNum w:abstractNumId="10">
    <w:nsid w:val="68F30DC4"/>
    <w:multiLevelType w:val="hybridMultilevel"/>
    <w:tmpl w:val="8FC2A83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nsid w:val="71C148CD"/>
    <w:multiLevelType w:val="hybridMultilevel"/>
    <w:tmpl w:val="98C8C450"/>
    <w:lvl w:ilvl="0" w:tplc="FD1A872A">
      <w:numFmt w:val="bullet"/>
      <w:lvlText w:val="-"/>
      <w:lvlJc w:val="left"/>
      <w:pPr>
        <w:ind w:left="1996" w:hanging="360"/>
      </w:pPr>
      <w:rPr>
        <w:rFonts w:ascii="Verdana" w:hAnsi="Verdana" w:cs="Arial" w:hint="default"/>
        <w:b w:val="0"/>
        <w:i w:val="0"/>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12">
    <w:nsid w:val="73276A1E"/>
    <w:multiLevelType w:val="hybridMultilevel"/>
    <w:tmpl w:val="ADECD2F4"/>
    <w:lvl w:ilvl="0" w:tplc="340A0001">
      <w:start w:val="1"/>
      <w:numFmt w:val="bullet"/>
      <w:lvlText w:val=""/>
      <w:lvlJc w:val="left"/>
      <w:pPr>
        <w:ind w:left="720" w:hanging="360"/>
      </w:pPr>
      <w:rPr>
        <w:rFonts w:ascii="Symbol" w:hAnsi="Symbol" w:hint="default"/>
      </w:rPr>
    </w:lvl>
    <w:lvl w:ilvl="1" w:tplc="765E57A8">
      <w:numFmt w:val="bullet"/>
      <w:lvlText w:val="-"/>
      <w:lvlJc w:val="left"/>
      <w:pPr>
        <w:ind w:left="1785" w:hanging="705"/>
      </w:pPr>
      <w:rPr>
        <w:rFonts w:ascii="Verdana" w:eastAsiaTheme="minorHAnsi" w:hAnsi="Verdana" w:cstheme="minorBid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95E5A1C"/>
    <w:multiLevelType w:val="hybridMultilevel"/>
    <w:tmpl w:val="20F810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5"/>
  </w:num>
  <w:num w:numId="5">
    <w:abstractNumId w:val="13"/>
  </w:num>
  <w:num w:numId="6">
    <w:abstractNumId w:val="7"/>
  </w:num>
  <w:num w:numId="7">
    <w:abstractNumId w:val="4"/>
  </w:num>
  <w:num w:numId="8">
    <w:abstractNumId w:val="11"/>
  </w:num>
  <w:num w:numId="9">
    <w:abstractNumId w:val="10"/>
  </w:num>
  <w:num w:numId="10">
    <w:abstractNumId w:val="2"/>
  </w:num>
  <w:num w:numId="11">
    <w:abstractNumId w:val="12"/>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AF"/>
    <w:rsid w:val="00001B28"/>
    <w:rsid w:val="000024D5"/>
    <w:rsid w:val="0002463A"/>
    <w:rsid w:val="00026FCD"/>
    <w:rsid w:val="00040265"/>
    <w:rsid w:val="00050D58"/>
    <w:rsid w:val="00051F91"/>
    <w:rsid w:val="000660C5"/>
    <w:rsid w:val="00070DA3"/>
    <w:rsid w:val="000B4783"/>
    <w:rsid w:val="000B6B19"/>
    <w:rsid w:val="000E003E"/>
    <w:rsid w:val="000E07AF"/>
    <w:rsid w:val="000F010A"/>
    <w:rsid w:val="00106747"/>
    <w:rsid w:val="00114F63"/>
    <w:rsid w:val="0011682A"/>
    <w:rsid w:val="00123CC5"/>
    <w:rsid w:val="00127C72"/>
    <w:rsid w:val="001372DE"/>
    <w:rsid w:val="00165A89"/>
    <w:rsid w:val="0016661C"/>
    <w:rsid w:val="00181719"/>
    <w:rsid w:val="00182B0A"/>
    <w:rsid w:val="001C0241"/>
    <w:rsid w:val="001D2805"/>
    <w:rsid w:val="001D5DC5"/>
    <w:rsid w:val="001E18DC"/>
    <w:rsid w:val="00213267"/>
    <w:rsid w:val="00221877"/>
    <w:rsid w:val="00224476"/>
    <w:rsid w:val="002446B7"/>
    <w:rsid w:val="002454CF"/>
    <w:rsid w:val="00246F55"/>
    <w:rsid w:val="00257095"/>
    <w:rsid w:val="00273E53"/>
    <w:rsid w:val="002774DD"/>
    <w:rsid w:val="00282714"/>
    <w:rsid w:val="00287493"/>
    <w:rsid w:val="002926B5"/>
    <w:rsid w:val="002B0FE1"/>
    <w:rsid w:val="002B3418"/>
    <w:rsid w:val="002D162F"/>
    <w:rsid w:val="002F2766"/>
    <w:rsid w:val="002F5886"/>
    <w:rsid w:val="002F5A5A"/>
    <w:rsid w:val="00311C4D"/>
    <w:rsid w:val="00313BC9"/>
    <w:rsid w:val="003254B6"/>
    <w:rsid w:val="00347D9A"/>
    <w:rsid w:val="003520DE"/>
    <w:rsid w:val="003608FF"/>
    <w:rsid w:val="00366DEF"/>
    <w:rsid w:val="00372B33"/>
    <w:rsid w:val="003A0FF2"/>
    <w:rsid w:val="003B3F7D"/>
    <w:rsid w:val="003C6CE2"/>
    <w:rsid w:val="003E540C"/>
    <w:rsid w:val="003F453C"/>
    <w:rsid w:val="003F6B45"/>
    <w:rsid w:val="00403CEE"/>
    <w:rsid w:val="00410574"/>
    <w:rsid w:val="00411ACC"/>
    <w:rsid w:val="004372CC"/>
    <w:rsid w:val="00445400"/>
    <w:rsid w:val="00446706"/>
    <w:rsid w:val="0045080B"/>
    <w:rsid w:val="004509E6"/>
    <w:rsid w:val="004523E7"/>
    <w:rsid w:val="00461BE7"/>
    <w:rsid w:val="004676AD"/>
    <w:rsid w:val="00483593"/>
    <w:rsid w:val="00496B65"/>
    <w:rsid w:val="004970A7"/>
    <w:rsid w:val="004E47C2"/>
    <w:rsid w:val="004E4D98"/>
    <w:rsid w:val="00502C83"/>
    <w:rsid w:val="00517651"/>
    <w:rsid w:val="00522CCF"/>
    <w:rsid w:val="00524D59"/>
    <w:rsid w:val="00570389"/>
    <w:rsid w:val="00572789"/>
    <w:rsid w:val="0058378B"/>
    <w:rsid w:val="00585547"/>
    <w:rsid w:val="00592B5D"/>
    <w:rsid w:val="005B01AD"/>
    <w:rsid w:val="005B46F6"/>
    <w:rsid w:val="005B5E44"/>
    <w:rsid w:val="005C71CC"/>
    <w:rsid w:val="005C7846"/>
    <w:rsid w:val="005D7240"/>
    <w:rsid w:val="005E1E2E"/>
    <w:rsid w:val="005F4709"/>
    <w:rsid w:val="00600543"/>
    <w:rsid w:val="00611315"/>
    <w:rsid w:val="00620A24"/>
    <w:rsid w:val="00621D70"/>
    <w:rsid w:val="00644787"/>
    <w:rsid w:val="00645B36"/>
    <w:rsid w:val="00660A52"/>
    <w:rsid w:val="00663B2C"/>
    <w:rsid w:val="00664D22"/>
    <w:rsid w:val="006658ED"/>
    <w:rsid w:val="00667E14"/>
    <w:rsid w:val="00682C20"/>
    <w:rsid w:val="00683F4F"/>
    <w:rsid w:val="00696CC6"/>
    <w:rsid w:val="006A14EF"/>
    <w:rsid w:val="006A19EE"/>
    <w:rsid w:val="006A7DBA"/>
    <w:rsid w:val="006B0B3E"/>
    <w:rsid w:val="006C4A2C"/>
    <w:rsid w:val="006C58CC"/>
    <w:rsid w:val="006D773B"/>
    <w:rsid w:val="006F621D"/>
    <w:rsid w:val="006F6F3C"/>
    <w:rsid w:val="006F7B8C"/>
    <w:rsid w:val="00707833"/>
    <w:rsid w:val="00712F7B"/>
    <w:rsid w:val="007306F5"/>
    <w:rsid w:val="007374B8"/>
    <w:rsid w:val="0075021B"/>
    <w:rsid w:val="0077343E"/>
    <w:rsid w:val="00782A46"/>
    <w:rsid w:val="007A4A08"/>
    <w:rsid w:val="007C0942"/>
    <w:rsid w:val="007C1868"/>
    <w:rsid w:val="007C1AAA"/>
    <w:rsid w:val="007C7A2F"/>
    <w:rsid w:val="007D3259"/>
    <w:rsid w:val="007D69F7"/>
    <w:rsid w:val="007F0603"/>
    <w:rsid w:val="007F2807"/>
    <w:rsid w:val="007F694C"/>
    <w:rsid w:val="00802A22"/>
    <w:rsid w:val="00812F2E"/>
    <w:rsid w:val="00827F33"/>
    <w:rsid w:val="00832548"/>
    <w:rsid w:val="00851EFC"/>
    <w:rsid w:val="0085625E"/>
    <w:rsid w:val="0085791C"/>
    <w:rsid w:val="00861A83"/>
    <w:rsid w:val="00862EB8"/>
    <w:rsid w:val="00865572"/>
    <w:rsid w:val="008866EC"/>
    <w:rsid w:val="0089068E"/>
    <w:rsid w:val="00894A58"/>
    <w:rsid w:val="008A1023"/>
    <w:rsid w:val="008A58BF"/>
    <w:rsid w:val="008B5624"/>
    <w:rsid w:val="008C1162"/>
    <w:rsid w:val="008C266F"/>
    <w:rsid w:val="008D145C"/>
    <w:rsid w:val="008D2119"/>
    <w:rsid w:val="008D2AE0"/>
    <w:rsid w:val="008E3726"/>
    <w:rsid w:val="008E389E"/>
    <w:rsid w:val="00905914"/>
    <w:rsid w:val="00907B1F"/>
    <w:rsid w:val="00912337"/>
    <w:rsid w:val="00925782"/>
    <w:rsid w:val="00937430"/>
    <w:rsid w:val="009478A7"/>
    <w:rsid w:val="0095089E"/>
    <w:rsid w:val="00975154"/>
    <w:rsid w:val="009808FA"/>
    <w:rsid w:val="009923D9"/>
    <w:rsid w:val="009B0088"/>
    <w:rsid w:val="009B70C9"/>
    <w:rsid w:val="009D0711"/>
    <w:rsid w:val="009E5DB7"/>
    <w:rsid w:val="009F5442"/>
    <w:rsid w:val="00A10A97"/>
    <w:rsid w:val="00A13B2F"/>
    <w:rsid w:val="00A13C6B"/>
    <w:rsid w:val="00A15B88"/>
    <w:rsid w:val="00A56FD6"/>
    <w:rsid w:val="00A612D8"/>
    <w:rsid w:val="00A80C58"/>
    <w:rsid w:val="00A8203B"/>
    <w:rsid w:val="00AB33B5"/>
    <w:rsid w:val="00AC7346"/>
    <w:rsid w:val="00AC7CE9"/>
    <w:rsid w:val="00AE47B5"/>
    <w:rsid w:val="00AF27AC"/>
    <w:rsid w:val="00B07FB5"/>
    <w:rsid w:val="00B14322"/>
    <w:rsid w:val="00B3351B"/>
    <w:rsid w:val="00B352F2"/>
    <w:rsid w:val="00B36AC1"/>
    <w:rsid w:val="00B424B3"/>
    <w:rsid w:val="00B4629F"/>
    <w:rsid w:val="00B55C3E"/>
    <w:rsid w:val="00B6227B"/>
    <w:rsid w:val="00B71617"/>
    <w:rsid w:val="00B7443A"/>
    <w:rsid w:val="00B77254"/>
    <w:rsid w:val="00B86B42"/>
    <w:rsid w:val="00B96561"/>
    <w:rsid w:val="00BD1241"/>
    <w:rsid w:val="00BF37B9"/>
    <w:rsid w:val="00BF6E0B"/>
    <w:rsid w:val="00C128F7"/>
    <w:rsid w:val="00C20609"/>
    <w:rsid w:val="00C32CF5"/>
    <w:rsid w:val="00C437F5"/>
    <w:rsid w:val="00C60C4E"/>
    <w:rsid w:val="00C70583"/>
    <w:rsid w:val="00C717E6"/>
    <w:rsid w:val="00C8392C"/>
    <w:rsid w:val="00C83B43"/>
    <w:rsid w:val="00C94058"/>
    <w:rsid w:val="00CA3E0B"/>
    <w:rsid w:val="00CA5B42"/>
    <w:rsid w:val="00CB3866"/>
    <w:rsid w:val="00CC25B0"/>
    <w:rsid w:val="00CC4B60"/>
    <w:rsid w:val="00CD5CA9"/>
    <w:rsid w:val="00CD70E9"/>
    <w:rsid w:val="00CE482E"/>
    <w:rsid w:val="00D11E16"/>
    <w:rsid w:val="00D11EFE"/>
    <w:rsid w:val="00D15858"/>
    <w:rsid w:val="00D2053D"/>
    <w:rsid w:val="00D26609"/>
    <w:rsid w:val="00D40DDE"/>
    <w:rsid w:val="00D51043"/>
    <w:rsid w:val="00D615FF"/>
    <w:rsid w:val="00D65E39"/>
    <w:rsid w:val="00D72EBB"/>
    <w:rsid w:val="00D87FDF"/>
    <w:rsid w:val="00D93E0A"/>
    <w:rsid w:val="00D94042"/>
    <w:rsid w:val="00D96901"/>
    <w:rsid w:val="00D96D63"/>
    <w:rsid w:val="00DB057B"/>
    <w:rsid w:val="00DC6188"/>
    <w:rsid w:val="00DD45F4"/>
    <w:rsid w:val="00DF1305"/>
    <w:rsid w:val="00E06BFB"/>
    <w:rsid w:val="00E20B47"/>
    <w:rsid w:val="00E24552"/>
    <w:rsid w:val="00E26AE1"/>
    <w:rsid w:val="00E4274C"/>
    <w:rsid w:val="00E44019"/>
    <w:rsid w:val="00E46058"/>
    <w:rsid w:val="00E51647"/>
    <w:rsid w:val="00E710A4"/>
    <w:rsid w:val="00EA5729"/>
    <w:rsid w:val="00EA739B"/>
    <w:rsid w:val="00ED1FC9"/>
    <w:rsid w:val="00EE396C"/>
    <w:rsid w:val="00EF4980"/>
    <w:rsid w:val="00F02DA2"/>
    <w:rsid w:val="00F05C96"/>
    <w:rsid w:val="00F14657"/>
    <w:rsid w:val="00F30F38"/>
    <w:rsid w:val="00F37244"/>
    <w:rsid w:val="00F37C4C"/>
    <w:rsid w:val="00F42595"/>
    <w:rsid w:val="00F43CA4"/>
    <w:rsid w:val="00F557D5"/>
    <w:rsid w:val="00F957CB"/>
    <w:rsid w:val="00F96A88"/>
    <w:rsid w:val="00FB4CA3"/>
    <w:rsid w:val="00FC47DC"/>
    <w:rsid w:val="00FD0F47"/>
    <w:rsid w:val="00FD4184"/>
    <w:rsid w:val="00FE0E34"/>
    <w:rsid w:val="00FF3A0D"/>
    <w:rsid w:val="00FF4311"/>
    <w:rsid w:val="00FF4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basedOn w:val="Normal"/>
    <w:uiPriority w:val="34"/>
    <w:qFormat/>
    <w:rsid w:val="00D93E0A"/>
    <w:pPr>
      <w:ind w:left="720"/>
      <w:contextualSpacing/>
    </w:pPr>
  </w:style>
  <w:style w:type="paragraph" w:styleId="Textodeglobo">
    <w:name w:val="Balloon Text"/>
    <w:basedOn w:val="Normal"/>
    <w:link w:val="TextodegloboCar"/>
    <w:uiPriority w:val="99"/>
    <w:semiHidden/>
    <w:unhideWhenUsed/>
    <w:rsid w:val="00F30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F38"/>
    <w:rPr>
      <w:rFonts w:ascii="Tahoma" w:hAnsi="Tahoma" w:cs="Tahoma"/>
      <w:sz w:val="16"/>
      <w:szCs w:val="16"/>
    </w:rPr>
  </w:style>
  <w:style w:type="table" w:styleId="Tablaconcuadrcula">
    <w:name w:val="Table Grid"/>
    <w:basedOn w:val="Tablanormal"/>
    <w:uiPriority w:val="59"/>
    <w:rsid w:val="00E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basedOn w:val="Normal"/>
    <w:uiPriority w:val="34"/>
    <w:qFormat/>
    <w:rsid w:val="00D93E0A"/>
    <w:pPr>
      <w:ind w:left="720"/>
      <w:contextualSpacing/>
    </w:pPr>
  </w:style>
  <w:style w:type="paragraph" w:styleId="Textodeglobo">
    <w:name w:val="Balloon Text"/>
    <w:basedOn w:val="Normal"/>
    <w:link w:val="TextodegloboCar"/>
    <w:uiPriority w:val="99"/>
    <w:semiHidden/>
    <w:unhideWhenUsed/>
    <w:rsid w:val="00F30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F38"/>
    <w:rPr>
      <w:rFonts w:ascii="Tahoma" w:hAnsi="Tahoma" w:cs="Tahoma"/>
      <w:sz w:val="16"/>
      <w:szCs w:val="16"/>
    </w:rPr>
  </w:style>
  <w:style w:type="table" w:styleId="Tablaconcuadrcula">
    <w:name w:val="Table Grid"/>
    <w:basedOn w:val="Tablanormal"/>
    <w:uiPriority w:val="59"/>
    <w:rsid w:val="00E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83288">
      <w:bodyDiv w:val="1"/>
      <w:marLeft w:val="0"/>
      <w:marRight w:val="0"/>
      <w:marTop w:val="0"/>
      <w:marBottom w:val="0"/>
      <w:divBdr>
        <w:top w:val="none" w:sz="0" w:space="0" w:color="auto"/>
        <w:left w:val="none" w:sz="0" w:space="0" w:color="auto"/>
        <w:bottom w:val="none" w:sz="0" w:space="0" w:color="auto"/>
        <w:right w:val="none" w:sz="0" w:space="0" w:color="auto"/>
      </w:divBdr>
      <w:divsChild>
        <w:div w:id="1304576779">
          <w:marLeft w:val="562"/>
          <w:marRight w:val="0"/>
          <w:marTop w:val="120"/>
          <w:marBottom w:val="120"/>
          <w:divBdr>
            <w:top w:val="none" w:sz="0" w:space="0" w:color="auto"/>
            <w:left w:val="none" w:sz="0" w:space="0" w:color="auto"/>
            <w:bottom w:val="none" w:sz="0" w:space="0" w:color="auto"/>
            <w:right w:val="none" w:sz="0" w:space="0" w:color="auto"/>
          </w:divBdr>
        </w:div>
      </w:divsChild>
    </w:div>
    <w:div w:id="10746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1BC9-4943-4A51-8C3E-A5F19C93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1149</Words>
  <Characters>6324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AlcaínoVargas</dc:creator>
  <cp:lastModifiedBy>Jorge Alcaíno Vargas</cp:lastModifiedBy>
  <cp:revision>5</cp:revision>
  <cp:lastPrinted>2016-08-10T14:30:00Z</cp:lastPrinted>
  <dcterms:created xsi:type="dcterms:W3CDTF">2017-08-11T17:27:00Z</dcterms:created>
  <dcterms:modified xsi:type="dcterms:W3CDTF">2017-08-11T17:55:00Z</dcterms:modified>
</cp:coreProperties>
</file>