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06" w:rsidRDefault="00844FBA" w:rsidP="005273C5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Consulta </w:t>
      </w:r>
      <w:r w:rsidR="00455ED3">
        <w:rPr>
          <w:b/>
        </w:rPr>
        <w:t>pública</w:t>
      </w:r>
      <w:r>
        <w:rPr>
          <w:b/>
        </w:rPr>
        <w:t xml:space="preserve"> sobre p</w:t>
      </w:r>
      <w:r w:rsidR="00835382">
        <w:rPr>
          <w:b/>
        </w:rPr>
        <w:t xml:space="preserve">ropuesta de </w:t>
      </w:r>
      <w:r w:rsidR="00D80906">
        <w:rPr>
          <w:b/>
        </w:rPr>
        <w:t xml:space="preserve">modificación de la OGUC derivada de los </w:t>
      </w:r>
      <w:r w:rsidR="00D80906" w:rsidRPr="00D80906">
        <w:rPr>
          <w:b/>
        </w:rPr>
        <w:t xml:space="preserve">cambios introducidos </w:t>
      </w:r>
      <w:r w:rsidR="00D80906">
        <w:rPr>
          <w:b/>
        </w:rPr>
        <w:t xml:space="preserve">a la LGUC </w:t>
      </w:r>
      <w:r w:rsidR="00D80906" w:rsidRPr="00D80906">
        <w:rPr>
          <w:b/>
        </w:rPr>
        <w:t xml:space="preserve">por la ley </w:t>
      </w:r>
      <w:r w:rsidR="00D80906">
        <w:rPr>
          <w:b/>
        </w:rPr>
        <w:t xml:space="preserve">N° 20.958, </w:t>
      </w:r>
      <w:r w:rsidR="00D80906" w:rsidRPr="00D80906">
        <w:rPr>
          <w:b/>
        </w:rPr>
        <w:t>de aportes al espacio público</w:t>
      </w:r>
      <w:r w:rsidR="00D80906">
        <w:rPr>
          <w:b/>
        </w:rPr>
        <w:t xml:space="preserve"> </w:t>
      </w:r>
    </w:p>
    <w:p w:rsidR="00844FBA" w:rsidRPr="00844FBA" w:rsidRDefault="00844FBA" w:rsidP="005273C5">
      <w:pPr>
        <w:pBdr>
          <w:bottom w:val="single" w:sz="12" w:space="1" w:color="auto"/>
        </w:pBdr>
        <w:spacing w:after="0" w:line="240" w:lineRule="auto"/>
        <w:jc w:val="center"/>
      </w:pPr>
      <w:r w:rsidRPr="00844FBA">
        <w:t>(</w:t>
      </w:r>
      <w:r w:rsidR="00D82094">
        <w:t>2</w:t>
      </w:r>
      <w:r w:rsidR="00D80906">
        <w:t>3</w:t>
      </w:r>
      <w:r w:rsidR="00D82094">
        <w:t xml:space="preserve"> de </w:t>
      </w:r>
      <w:r w:rsidR="002D05B7">
        <w:t>ener</w:t>
      </w:r>
      <w:bookmarkStart w:id="0" w:name="_GoBack"/>
      <w:bookmarkEnd w:id="0"/>
      <w:r w:rsidR="00D80906">
        <w:t xml:space="preserve">o </w:t>
      </w:r>
      <w:r w:rsidR="00D82094">
        <w:t>a</w:t>
      </w:r>
      <w:r w:rsidRPr="00844FBA">
        <w:t xml:space="preserve">l </w:t>
      </w:r>
      <w:r w:rsidR="00D80906">
        <w:t xml:space="preserve">6 </w:t>
      </w:r>
      <w:r w:rsidR="00D82094">
        <w:t>de ma</w:t>
      </w:r>
      <w:r w:rsidR="00D80906">
        <w:t>rz</w:t>
      </w:r>
      <w:r w:rsidR="00D82094">
        <w:t>o</w:t>
      </w:r>
      <w:r w:rsidR="00D82094" w:rsidRPr="00844FBA">
        <w:t xml:space="preserve"> </w:t>
      </w:r>
      <w:r w:rsidR="00D80906">
        <w:t xml:space="preserve">de </w:t>
      </w:r>
      <w:r w:rsidRPr="00844FBA">
        <w:t>201</w:t>
      </w:r>
      <w:r w:rsidR="008412FA">
        <w:t>7</w:t>
      </w:r>
      <w:r w:rsidRPr="00844FBA">
        <w:t>)</w:t>
      </w:r>
    </w:p>
    <w:p w:rsidR="00C7137B" w:rsidRDefault="00C7137B" w:rsidP="005273C5">
      <w:pPr>
        <w:spacing w:after="0" w:line="240" w:lineRule="auto"/>
      </w:pPr>
    </w:p>
    <w:p w:rsidR="00C7137B" w:rsidRDefault="00C7137B" w:rsidP="00C7023C">
      <w:pPr>
        <w:pStyle w:val="Prrafodelista"/>
        <w:numPr>
          <w:ilvl w:val="0"/>
          <w:numId w:val="1"/>
        </w:numPr>
        <w:spacing w:after="120" w:line="240" w:lineRule="auto"/>
        <w:ind w:left="360"/>
        <w:contextualSpacing w:val="0"/>
      </w:pPr>
      <w:r w:rsidRPr="00C7137B">
        <w:rPr>
          <w:b/>
        </w:rPr>
        <w:t>Identificación de la propuesta normativa</w:t>
      </w:r>
      <w:r w:rsidR="00105477">
        <w:rPr>
          <w:b/>
        </w:rPr>
        <w:t xml:space="preserve"> sometida a consulta</w:t>
      </w:r>
      <w:r w:rsidR="00051FDE">
        <w:rPr>
          <w:b/>
        </w:rPr>
        <w:t>.</w:t>
      </w:r>
      <w:r>
        <w:t xml:space="preserve"> </w:t>
      </w:r>
    </w:p>
    <w:p w:rsidR="00C7137B" w:rsidRPr="00D73132" w:rsidRDefault="0009514D" w:rsidP="00C7023C">
      <w:pPr>
        <w:spacing w:after="120" w:line="240" w:lineRule="auto"/>
        <w:jc w:val="both"/>
        <w:rPr>
          <w:highlight w:val="yellow"/>
        </w:rPr>
      </w:pPr>
      <w:r>
        <w:t>P</w:t>
      </w:r>
      <w:r w:rsidR="00C7137B">
        <w:t>royecto de Decreto Supremo que modificará la Ordenanza General de Urbanismo y Construcciones (en adelante OGUC)</w:t>
      </w:r>
      <w:r w:rsidR="00366D71">
        <w:t xml:space="preserve"> </w:t>
      </w:r>
      <w:r w:rsidR="00C7137B">
        <w:t xml:space="preserve">para adaptarla a las </w:t>
      </w:r>
      <w:r w:rsidR="00AD6067">
        <w:t xml:space="preserve">modificaciones que introdujo a la Ley General de Urbanismo y Construcciones (en adelante LGUC) </w:t>
      </w:r>
      <w:r w:rsidR="00C7137B">
        <w:t>la Ley N° 20.</w:t>
      </w:r>
      <w:r w:rsidR="007D36DA">
        <w:t>958</w:t>
      </w:r>
      <w:r w:rsidR="00C7137B">
        <w:t xml:space="preserve"> (publicada en el Diario Oficial de 1</w:t>
      </w:r>
      <w:r w:rsidR="00D73132">
        <w:t>5</w:t>
      </w:r>
      <w:r w:rsidR="00C7137B">
        <w:t xml:space="preserve"> de </w:t>
      </w:r>
      <w:r w:rsidR="00D73132">
        <w:t xml:space="preserve">octubre </w:t>
      </w:r>
      <w:r w:rsidR="00C7137B">
        <w:t>de 201</w:t>
      </w:r>
      <w:r w:rsidR="00D73132">
        <w:t>6</w:t>
      </w:r>
      <w:r w:rsidR="00C7137B">
        <w:t>)</w:t>
      </w:r>
      <w:r w:rsidR="00F14069">
        <w:t xml:space="preserve">, que </w:t>
      </w:r>
      <w:r w:rsidR="00D73132">
        <w:t xml:space="preserve">establece un </w:t>
      </w:r>
      <w:r w:rsidR="00D73132" w:rsidRPr="00D73132">
        <w:t>sistema de aportes al espacio público</w:t>
      </w:r>
      <w:r w:rsidR="00C7137B">
        <w:t>.</w:t>
      </w:r>
    </w:p>
    <w:p w:rsidR="00C7137B" w:rsidRDefault="00C7137B" w:rsidP="00C7023C">
      <w:pPr>
        <w:spacing w:after="120" w:line="240" w:lineRule="auto"/>
        <w:jc w:val="both"/>
      </w:pPr>
    </w:p>
    <w:p w:rsidR="00C7137B" w:rsidRDefault="00C7137B" w:rsidP="00C7023C">
      <w:pPr>
        <w:pStyle w:val="Prrafodelista"/>
        <w:numPr>
          <w:ilvl w:val="0"/>
          <w:numId w:val="1"/>
        </w:numPr>
        <w:spacing w:after="120" w:line="240" w:lineRule="auto"/>
        <w:ind w:left="360"/>
        <w:contextualSpacing w:val="0"/>
        <w:jc w:val="both"/>
      </w:pPr>
      <w:r w:rsidRPr="00C7137B">
        <w:rPr>
          <w:b/>
        </w:rPr>
        <w:t xml:space="preserve">Descripción del problema </w:t>
      </w:r>
      <w:r w:rsidR="00F10A85">
        <w:rPr>
          <w:b/>
        </w:rPr>
        <w:t xml:space="preserve">o necesidad </w:t>
      </w:r>
      <w:r w:rsidRPr="00C7137B">
        <w:rPr>
          <w:b/>
        </w:rPr>
        <w:t>que motiva la elaboración de esta normativa</w:t>
      </w:r>
      <w:r>
        <w:t>.</w:t>
      </w:r>
    </w:p>
    <w:p w:rsidR="00C7137B" w:rsidRDefault="00BB5879" w:rsidP="00C7023C">
      <w:pPr>
        <w:spacing w:after="120" w:line="240" w:lineRule="auto"/>
        <w:jc w:val="both"/>
      </w:pPr>
      <w:r>
        <w:t>R</w:t>
      </w:r>
      <w:r w:rsidR="00C7137B">
        <w:t>eglamentar la</w:t>
      </w:r>
      <w:r w:rsidR="00AD6067">
        <w:t xml:space="preserve">s disposiciones de la LGUC que fueron modificadas por la </w:t>
      </w:r>
      <w:r w:rsidR="00C7137B">
        <w:t>Ley N° 20.</w:t>
      </w:r>
      <w:r w:rsidR="00D73132">
        <w:t>958</w:t>
      </w:r>
      <w:r w:rsidR="0009514D">
        <w:t xml:space="preserve"> </w:t>
      </w:r>
      <w:r w:rsidR="00C7137B">
        <w:t xml:space="preserve">para </w:t>
      </w:r>
      <w:r>
        <w:t xml:space="preserve">permitir </w:t>
      </w:r>
      <w:r w:rsidR="00C7137B">
        <w:t>su</w:t>
      </w:r>
      <w:r>
        <w:t xml:space="preserve"> adecuada</w:t>
      </w:r>
      <w:r w:rsidR="00C7137B">
        <w:t xml:space="preserve"> aplicación</w:t>
      </w:r>
      <w:r w:rsidR="00A22DDA">
        <w:t xml:space="preserve">, complementando también </w:t>
      </w:r>
      <w:r w:rsidR="00A00304">
        <w:t xml:space="preserve">el futuro </w:t>
      </w:r>
      <w:r w:rsidRPr="00BB5879">
        <w:t>Reglamento sobre procedimiento y metodología de los Informes de Mitigación de Impacto Vial (IMIV)</w:t>
      </w:r>
      <w:r>
        <w:t>, a cargo del Ministerio de Transportes y Telecomunicaciones</w:t>
      </w:r>
      <w:r w:rsidR="00A00304">
        <w:t xml:space="preserve">, </w:t>
      </w:r>
      <w:r w:rsidR="00A22DDA">
        <w:t xml:space="preserve">y </w:t>
      </w:r>
      <w:r w:rsidR="00A00304">
        <w:t xml:space="preserve">cuya consulta pública se hace en conjunto </w:t>
      </w:r>
      <w:r w:rsidR="00A22DDA">
        <w:t>dada su íntima relación</w:t>
      </w:r>
      <w:r>
        <w:t>.</w:t>
      </w:r>
    </w:p>
    <w:p w:rsidR="003B61F6" w:rsidRPr="003B61F6" w:rsidRDefault="003B61F6" w:rsidP="00C7023C">
      <w:pPr>
        <w:spacing w:after="120" w:line="240" w:lineRule="auto"/>
        <w:jc w:val="both"/>
        <w:rPr>
          <w:i/>
        </w:rPr>
      </w:pPr>
      <w:r w:rsidRPr="003B61F6">
        <w:rPr>
          <w:i/>
        </w:rPr>
        <w:t>Conviene destacar que como esta modificación</w:t>
      </w:r>
      <w:r w:rsidR="00A00304">
        <w:rPr>
          <w:i/>
        </w:rPr>
        <w:t xml:space="preserve"> </w:t>
      </w:r>
      <w:r w:rsidRPr="003B61F6">
        <w:rPr>
          <w:i/>
        </w:rPr>
        <w:t>sólo tiene rango reglamentario no puede modificar las normas de la Ley N° 20.</w:t>
      </w:r>
      <w:r w:rsidR="00D73132">
        <w:rPr>
          <w:i/>
        </w:rPr>
        <w:t>958</w:t>
      </w:r>
      <w:r w:rsidRPr="003B61F6">
        <w:rPr>
          <w:i/>
        </w:rPr>
        <w:t>, sino sólo detallarla y precisarla.</w:t>
      </w:r>
    </w:p>
    <w:p w:rsidR="00C7137B" w:rsidRDefault="00C7137B" w:rsidP="00C7023C">
      <w:pPr>
        <w:spacing w:after="120" w:line="240" w:lineRule="auto"/>
        <w:jc w:val="both"/>
      </w:pPr>
    </w:p>
    <w:p w:rsidR="00C7137B" w:rsidRPr="00C7137B" w:rsidRDefault="00C7137B" w:rsidP="00C7023C">
      <w:pPr>
        <w:pStyle w:val="Prrafodelista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b/>
        </w:rPr>
      </w:pPr>
      <w:r w:rsidRPr="00C7137B">
        <w:rPr>
          <w:b/>
        </w:rPr>
        <w:t>Objetivos de la propuesta normativa</w:t>
      </w:r>
      <w:r w:rsidR="00051FDE">
        <w:rPr>
          <w:b/>
        </w:rPr>
        <w:t>.</w:t>
      </w:r>
    </w:p>
    <w:p w:rsidR="00A00304" w:rsidRDefault="00A00304" w:rsidP="00C7023C">
      <w:pPr>
        <w:pStyle w:val="Prrafodelista"/>
        <w:numPr>
          <w:ilvl w:val="0"/>
          <w:numId w:val="4"/>
        </w:numPr>
        <w:spacing w:after="120" w:line="240" w:lineRule="auto"/>
        <w:contextualSpacing w:val="0"/>
        <w:jc w:val="both"/>
      </w:pPr>
      <w:r>
        <w:t xml:space="preserve">Establecer los conceptos necesarios </w:t>
      </w:r>
      <w:r w:rsidR="00B95FEB">
        <w:t>para la aplicación del sistema de aportes al espacio público,</w:t>
      </w:r>
    </w:p>
    <w:p w:rsidR="00B95FEB" w:rsidRDefault="00B95FEB" w:rsidP="00C7023C">
      <w:pPr>
        <w:pStyle w:val="Prrafodelista"/>
        <w:numPr>
          <w:ilvl w:val="0"/>
          <w:numId w:val="4"/>
        </w:numPr>
        <w:spacing w:after="120" w:line="240" w:lineRule="auto"/>
        <w:contextualSpacing w:val="0"/>
        <w:jc w:val="both"/>
      </w:pPr>
      <w:r w:rsidRPr="00B95FEB">
        <w:t>Regula</w:t>
      </w:r>
      <w:r>
        <w:t xml:space="preserve">r el sistema para calcular </w:t>
      </w:r>
      <w:r w:rsidRPr="00B95FEB">
        <w:t xml:space="preserve">los aportes al espacio público </w:t>
      </w:r>
      <w:r>
        <w:t>y</w:t>
      </w:r>
    </w:p>
    <w:p w:rsidR="00C7137B" w:rsidRDefault="00B95FEB" w:rsidP="00C7023C">
      <w:pPr>
        <w:pStyle w:val="Prrafodelista"/>
        <w:numPr>
          <w:ilvl w:val="0"/>
          <w:numId w:val="4"/>
        </w:numPr>
        <w:spacing w:after="120" w:line="240" w:lineRule="auto"/>
        <w:contextualSpacing w:val="0"/>
        <w:jc w:val="both"/>
      </w:pPr>
      <w:r>
        <w:t xml:space="preserve">Modificar el sistema de </w:t>
      </w:r>
      <w:r w:rsidRPr="00B95FEB">
        <w:t>permisos y recepciones</w:t>
      </w:r>
      <w:r>
        <w:t xml:space="preserve"> para incluir la operatoria de los sistemas de aportes al espacio público y de mitigaciones directas</w:t>
      </w:r>
      <w:r w:rsidR="00C7137B">
        <w:t xml:space="preserve">. </w:t>
      </w:r>
    </w:p>
    <w:p w:rsidR="00C7137B" w:rsidRDefault="00C7137B" w:rsidP="00C7023C">
      <w:pPr>
        <w:spacing w:after="120" w:line="240" w:lineRule="auto"/>
        <w:ind w:left="-360" w:firstLine="45"/>
        <w:jc w:val="both"/>
      </w:pPr>
    </w:p>
    <w:p w:rsidR="00C7137B" w:rsidRPr="00C7137B" w:rsidRDefault="00C7137B" w:rsidP="00C7023C">
      <w:pPr>
        <w:pStyle w:val="Prrafodelista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b/>
        </w:rPr>
      </w:pPr>
      <w:r w:rsidRPr="00C7137B">
        <w:rPr>
          <w:b/>
        </w:rPr>
        <w:t xml:space="preserve">Descripción de la propuesta. </w:t>
      </w:r>
    </w:p>
    <w:p w:rsidR="00061618" w:rsidRDefault="00061618" w:rsidP="00AD61FF">
      <w:pPr>
        <w:pStyle w:val="Prrafodelista"/>
        <w:numPr>
          <w:ilvl w:val="0"/>
          <w:numId w:val="5"/>
        </w:numPr>
        <w:spacing w:after="120" w:line="240" w:lineRule="auto"/>
        <w:contextualSpacing w:val="0"/>
        <w:jc w:val="both"/>
      </w:pPr>
      <w:r w:rsidRPr="00061618">
        <w:rPr>
          <w:u w:val="single"/>
        </w:rPr>
        <w:t>Nuevas o renovadas definiciones</w:t>
      </w:r>
      <w:r w:rsidR="00C7137B">
        <w:t xml:space="preserve">: </w:t>
      </w:r>
      <w:r>
        <w:t xml:space="preserve">Se agregan al </w:t>
      </w:r>
      <w:r w:rsidRPr="00061618">
        <w:t xml:space="preserve">art. 1.1.2 </w:t>
      </w:r>
      <w:r>
        <w:t xml:space="preserve">de la </w:t>
      </w:r>
      <w:r w:rsidRPr="00061618">
        <w:t xml:space="preserve">OGUC </w:t>
      </w:r>
      <w:r>
        <w:t xml:space="preserve">los con conceptos de </w:t>
      </w:r>
      <w:r w:rsidRPr="00061618">
        <w:t>crecimiento urbano por extensión y densificación, movilidad, planes de infraestructura de movilidad o urbanizar</w:t>
      </w:r>
      <w:r w:rsidR="00844FBA" w:rsidRPr="00844FBA">
        <w:t>.</w:t>
      </w:r>
      <w:r w:rsidR="00AD61FF">
        <w:t xml:space="preserve"> </w:t>
      </w:r>
      <w:r w:rsidR="00693E7D">
        <w:t xml:space="preserve">También se precisa el concepto de </w:t>
      </w:r>
      <w:r w:rsidR="00AD61FF" w:rsidRPr="00AD61FF">
        <w:t>persona con movilidad reducida</w:t>
      </w:r>
      <w:r w:rsidR="00693E7D">
        <w:t xml:space="preserve"> (art. 2.2.8).</w:t>
      </w:r>
    </w:p>
    <w:p w:rsidR="006B31CE" w:rsidRDefault="00061618" w:rsidP="00C7023C">
      <w:pPr>
        <w:pStyle w:val="Prrafodelista"/>
        <w:numPr>
          <w:ilvl w:val="0"/>
          <w:numId w:val="5"/>
        </w:numPr>
        <w:spacing w:after="120" w:line="240" w:lineRule="auto"/>
        <w:contextualSpacing w:val="0"/>
        <w:jc w:val="both"/>
      </w:pPr>
      <w:r w:rsidRPr="00061618">
        <w:rPr>
          <w:u w:val="single"/>
        </w:rPr>
        <w:t>Nueva norma sobre plazos</w:t>
      </w:r>
      <w:r w:rsidR="006B31CE">
        <w:t>:</w:t>
      </w:r>
      <w:r w:rsidR="00E857BA">
        <w:t xml:space="preserve"> </w:t>
      </w:r>
      <w:r>
        <w:t xml:space="preserve">En el </w:t>
      </w:r>
      <w:r w:rsidRPr="00061618">
        <w:t xml:space="preserve">inc. 2° </w:t>
      </w:r>
      <w:r>
        <w:t xml:space="preserve">del </w:t>
      </w:r>
      <w:r w:rsidRPr="00061618">
        <w:t>art. 1.1.1</w:t>
      </w:r>
      <w:r>
        <w:t xml:space="preserve"> OGUC</w:t>
      </w:r>
      <w:r w:rsidR="007B4C35">
        <w:t xml:space="preserve"> se reproduce la regla </w:t>
      </w:r>
      <w:r w:rsidR="00904D24">
        <w:t xml:space="preserve">general </w:t>
      </w:r>
      <w:r w:rsidR="007B4C35">
        <w:t xml:space="preserve">sobre plazos </w:t>
      </w:r>
      <w:r w:rsidR="00904D24">
        <w:t xml:space="preserve">que introdujo </w:t>
      </w:r>
      <w:r w:rsidR="007B4C35">
        <w:t xml:space="preserve">el </w:t>
      </w:r>
      <w:r w:rsidR="00904D24">
        <w:t>art. 190 de la LGUC (días corridos)</w:t>
      </w:r>
      <w:r w:rsidR="006B31CE">
        <w:t>.</w:t>
      </w:r>
    </w:p>
    <w:p w:rsidR="005273C5" w:rsidRDefault="00F6684D" w:rsidP="00C7023C">
      <w:pPr>
        <w:pStyle w:val="Prrafodelista"/>
        <w:numPr>
          <w:ilvl w:val="0"/>
          <w:numId w:val="5"/>
        </w:numPr>
        <w:spacing w:after="120" w:line="240" w:lineRule="auto"/>
        <w:contextualSpacing w:val="0"/>
        <w:jc w:val="both"/>
      </w:pPr>
      <w:r>
        <w:rPr>
          <w:u w:val="single"/>
        </w:rPr>
        <w:t>Nuevo</w:t>
      </w:r>
      <w:r w:rsidR="00061618" w:rsidRPr="00061618">
        <w:rPr>
          <w:u w:val="single"/>
        </w:rPr>
        <w:t xml:space="preserve"> capítulo </w:t>
      </w:r>
      <w:r w:rsidR="00061618">
        <w:rPr>
          <w:u w:val="single"/>
        </w:rPr>
        <w:t>sobre Mitigaciones Viales</w:t>
      </w:r>
      <w:r w:rsidR="00C7137B">
        <w:t xml:space="preserve">: </w:t>
      </w:r>
      <w:r w:rsidR="00904D24">
        <w:t xml:space="preserve">Se incluye en el </w:t>
      </w:r>
      <w:r w:rsidR="00061618" w:rsidRPr="00061618">
        <w:t>Tí</w:t>
      </w:r>
      <w:r w:rsidR="00904D24">
        <w:t>tulo</w:t>
      </w:r>
      <w:r w:rsidR="00061618" w:rsidRPr="00061618">
        <w:t xml:space="preserve"> I </w:t>
      </w:r>
      <w:r w:rsidR="00904D24">
        <w:t xml:space="preserve">de la LGUC </w:t>
      </w:r>
      <w:r w:rsidR="00C7023C">
        <w:t xml:space="preserve">un nuevo capítulo </w:t>
      </w:r>
      <w:r w:rsidR="00061618" w:rsidRPr="00061618">
        <w:t xml:space="preserve">con disposiciones para proyectos con IMIV, </w:t>
      </w:r>
      <w:r w:rsidR="00C7023C">
        <w:t xml:space="preserve">en los nuevos </w:t>
      </w:r>
      <w:r w:rsidR="00061618" w:rsidRPr="00061618">
        <w:t>arts. 1.5.1 a 1.5.4 (</w:t>
      </w:r>
      <w:r w:rsidR="00904D24">
        <w:t>v</w:t>
      </w:r>
      <w:r w:rsidR="00C7023C">
        <w:t>igencia de los IMIV</w:t>
      </w:r>
      <w:r w:rsidR="00061618" w:rsidRPr="00061618">
        <w:t>, recepciones definitivas o parciales, garantías, etc.)</w:t>
      </w:r>
      <w:r w:rsidR="00AD6067">
        <w:t>.</w:t>
      </w:r>
      <w:r>
        <w:t xml:space="preserve"> Cabe señalar que el procedimiento y metodología en detalle para elaborar y aprobar los IMIV se contiene en </w:t>
      </w:r>
      <w:r w:rsidRPr="00BB5879">
        <w:t>Reglamento sobre procedimiento y metodología de IMIV</w:t>
      </w:r>
      <w:r>
        <w:t xml:space="preserve"> que se somete a consulta en forma paralela y conjunta a esta modificación de la OGUC.</w:t>
      </w:r>
    </w:p>
    <w:p w:rsidR="00A22DDA" w:rsidRDefault="00A22DDA" w:rsidP="00A22DDA">
      <w:pPr>
        <w:pStyle w:val="Prrafodelista"/>
        <w:numPr>
          <w:ilvl w:val="0"/>
          <w:numId w:val="5"/>
        </w:numPr>
        <w:spacing w:after="120" w:line="240" w:lineRule="auto"/>
        <w:contextualSpacing w:val="0"/>
        <w:jc w:val="both"/>
      </w:pPr>
      <w:r>
        <w:rPr>
          <w:u w:val="single"/>
        </w:rPr>
        <w:t>Derogación de las normas sobre EISTU</w:t>
      </w:r>
      <w:r w:rsidRPr="00A22DDA">
        <w:t>:</w:t>
      </w:r>
      <w:r>
        <w:t xml:space="preserve"> Por ejemplo, los arts. 2.4.3., 4.5.4., 4.8.3. y 4.13.4. y relacionados.</w:t>
      </w:r>
    </w:p>
    <w:p w:rsidR="00BB5879" w:rsidRDefault="00061618" w:rsidP="00C7023C">
      <w:pPr>
        <w:pStyle w:val="Prrafodelista"/>
        <w:numPr>
          <w:ilvl w:val="0"/>
          <w:numId w:val="5"/>
        </w:numPr>
        <w:spacing w:after="120" w:line="240" w:lineRule="auto"/>
        <w:contextualSpacing w:val="0"/>
        <w:jc w:val="both"/>
      </w:pPr>
      <w:r w:rsidRPr="00061618">
        <w:rPr>
          <w:u w:val="single"/>
        </w:rPr>
        <w:t>Regulación de l</w:t>
      </w:r>
      <w:r w:rsidR="00904D24">
        <w:rPr>
          <w:u w:val="single"/>
        </w:rPr>
        <w:t>a</w:t>
      </w:r>
      <w:r w:rsidRPr="00061618">
        <w:rPr>
          <w:u w:val="single"/>
        </w:rPr>
        <w:t>s</w:t>
      </w:r>
      <w:r w:rsidR="00904D24">
        <w:rPr>
          <w:u w:val="single"/>
        </w:rPr>
        <w:t xml:space="preserve"> cesiones y</w:t>
      </w:r>
      <w:r w:rsidRPr="00061618">
        <w:rPr>
          <w:u w:val="single"/>
        </w:rPr>
        <w:t xml:space="preserve"> aportes al espacio público</w:t>
      </w:r>
      <w:r w:rsidR="00904D24">
        <w:rPr>
          <w:u w:val="single"/>
        </w:rPr>
        <w:t xml:space="preserve"> en el </w:t>
      </w:r>
      <w:r w:rsidR="00904D24" w:rsidRPr="00904D24">
        <w:rPr>
          <w:u w:val="single"/>
        </w:rPr>
        <w:t>crecimiento urbano por densificación</w:t>
      </w:r>
      <w:r w:rsidR="00C7023C">
        <w:rPr>
          <w:u w:val="single"/>
        </w:rPr>
        <w:t xml:space="preserve"> en los artículos 2.2.5. bis a 2.2.5. bis C</w:t>
      </w:r>
      <w:r>
        <w:t>:</w:t>
      </w:r>
    </w:p>
    <w:p w:rsidR="00904D24" w:rsidRDefault="00C7023C" w:rsidP="00F6684D">
      <w:pPr>
        <w:pStyle w:val="Prrafodelista"/>
        <w:numPr>
          <w:ilvl w:val="1"/>
          <w:numId w:val="5"/>
        </w:numPr>
        <w:spacing w:after="120" w:line="240" w:lineRule="auto"/>
        <w:contextualSpacing w:val="0"/>
        <w:jc w:val="both"/>
      </w:pPr>
      <w:r>
        <w:lastRenderedPageBreak/>
        <w:t xml:space="preserve">Conforme a la Ley se dispone que los proyectos que densifican deben </w:t>
      </w:r>
      <w:r w:rsidR="00904D24">
        <w:t>ce</w:t>
      </w:r>
      <w:r>
        <w:t xml:space="preserve">der suelo conforme al art. 70 de la LGUC o, alternativamente, optar por pagar aportes en dinero </w:t>
      </w:r>
      <w:r w:rsidR="00F6684D">
        <w:t xml:space="preserve">que sean </w:t>
      </w:r>
      <w:r w:rsidR="00F6684D" w:rsidRPr="00F6684D">
        <w:t>equivalente</w:t>
      </w:r>
      <w:r w:rsidR="00F6684D">
        <w:t>s</w:t>
      </w:r>
      <w:r w:rsidR="00F6684D" w:rsidRPr="00F6684D">
        <w:t xml:space="preserve"> al avalúo fiscal del porcentaje de terreno a ceder a la municipalidad respectiva </w:t>
      </w:r>
      <w:r>
        <w:t>o ejecutar obras o medidas por un valor equivalente al del aporte.</w:t>
      </w:r>
    </w:p>
    <w:p w:rsidR="00C7023C" w:rsidRDefault="00C7023C" w:rsidP="00C7023C">
      <w:pPr>
        <w:pStyle w:val="Prrafodelista"/>
        <w:numPr>
          <w:ilvl w:val="1"/>
          <w:numId w:val="5"/>
        </w:numPr>
        <w:spacing w:after="120" w:line="240" w:lineRule="auto"/>
        <w:contextualSpacing w:val="0"/>
        <w:jc w:val="both"/>
      </w:pPr>
      <w:r>
        <w:t>Se dictan r</w:t>
      </w:r>
      <w:r w:rsidR="00904D24">
        <w:t>eglas generales</w:t>
      </w:r>
      <w:r>
        <w:t xml:space="preserve"> para el cálculo de las cesiones o aportes, entre ellas que no </w:t>
      </w:r>
      <w:r w:rsidRPr="00C7023C">
        <w:t>podrán exceder del 44% del terreno o del avalúo fiscal del predio que se densifica</w:t>
      </w:r>
      <w:r>
        <w:t>.</w:t>
      </w:r>
    </w:p>
    <w:p w:rsidR="00904D24" w:rsidRPr="00F6684D" w:rsidRDefault="00C7023C" w:rsidP="00F6684D">
      <w:pPr>
        <w:pStyle w:val="Prrafodelista"/>
        <w:numPr>
          <w:ilvl w:val="1"/>
          <w:numId w:val="5"/>
        </w:numPr>
        <w:spacing w:after="120" w:line="240" w:lineRule="auto"/>
        <w:contextualSpacing w:val="0"/>
        <w:jc w:val="both"/>
        <w:rPr>
          <w:rFonts w:cstheme="minorHAnsi"/>
        </w:rPr>
      </w:pPr>
      <w:r>
        <w:t>Se establece</w:t>
      </w:r>
      <w:r w:rsidR="00F6684D">
        <w:t xml:space="preserve">, de acuerdo al encargo del legislador, una </w:t>
      </w:r>
      <w:r>
        <w:t>t</w:t>
      </w:r>
      <w:r w:rsidR="00904D24">
        <w:t xml:space="preserve">abla </w:t>
      </w:r>
      <w:r w:rsidR="00F6684D">
        <w:t xml:space="preserve">especial para </w:t>
      </w:r>
      <w:r w:rsidR="00904D24">
        <w:t>c</w:t>
      </w:r>
      <w:r w:rsidR="00F6684D">
        <w:t>a</w:t>
      </w:r>
      <w:r w:rsidR="00904D24">
        <w:t>lcul</w:t>
      </w:r>
      <w:r w:rsidR="00F6684D">
        <w:t xml:space="preserve">ar </w:t>
      </w:r>
      <w:r w:rsidR="00904D24">
        <w:t>para los aportes en dinero</w:t>
      </w:r>
      <w:r w:rsidR="00F6684D">
        <w:t xml:space="preserve"> que correspondan a los proyectos que densifican, la que atiende a </w:t>
      </w:r>
      <w:r w:rsidR="00F6684D" w:rsidRPr="00F6684D">
        <w:rPr>
          <w:rFonts w:cstheme="minorHAnsi"/>
        </w:rPr>
        <w:t>la densidad y al destino del proyecto</w:t>
      </w:r>
      <w:r w:rsidRPr="00F6684D">
        <w:rPr>
          <w:rFonts w:cstheme="minorHAnsi"/>
        </w:rPr>
        <w:t>:</w:t>
      </w:r>
    </w:p>
    <w:tbl>
      <w:tblPr>
        <w:tblStyle w:val="Tablaconcuadrcula"/>
        <w:tblW w:w="6973" w:type="dxa"/>
        <w:tblInd w:w="1528" w:type="dxa"/>
        <w:tblLayout w:type="fixed"/>
        <w:tblLook w:val="04A0" w:firstRow="1" w:lastRow="0" w:firstColumn="1" w:lastColumn="0" w:noHBand="0" w:noVBand="1"/>
      </w:tblPr>
      <w:tblGrid>
        <w:gridCol w:w="1759"/>
        <w:gridCol w:w="2932"/>
        <w:gridCol w:w="2282"/>
      </w:tblGrid>
      <w:tr w:rsidR="00C7023C" w:rsidRPr="00F6684D" w:rsidTr="00F6684D">
        <w:tc>
          <w:tcPr>
            <w:tcW w:w="1759" w:type="dxa"/>
            <w:shd w:val="clear" w:color="auto" w:fill="B8CCE4" w:themeFill="accent1" w:themeFillTint="66"/>
            <w:vAlign w:val="center"/>
          </w:tcPr>
          <w:p w:rsidR="00C7023C" w:rsidRPr="00F6684D" w:rsidRDefault="00F6684D" w:rsidP="00F6684D">
            <w:pPr>
              <w:jc w:val="center"/>
              <w:rPr>
                <w:rFonts w:cstheme="minorHAnsi"/>
                <w:b/>
                <w:i/>
                <w:sz w:val="20"/>
              </w:rPr>
            </w:pPr>
            <w:r w:rsidRPr="00F6684D">
              <w:rPr>
                <w:rFonts w:cstheme="minorHAnsi"/>
                <w:b/>
                <w:i/>
                <w:sz w:val="20"/>
              </w:rPr>
              <w:t>Destino</w:t>
            </w:r>
          </w:p>
        </w:tc>
        <w:tc>
          <w:tcPr>
            <w:tcW w:w="2932" w:type="dxa"/>
            <w:shd w:val="clear" w:color="auto" w:fill="B8CCE4" w:themeFill="accent1" w:themeFillTint="66"/>
            <w:vAlign w:val="center"/>
          </w:tcPr>
          <w:p w:rsidR="00C7023C" w:rsidRPr="00F6684D" w:rsidRDefault="00F6684D" w:rsidP="00F6684D">
            <w:pPr>
              <w:jc w:val="center"/>
              <w:rPr>
                <w:rFonts w:cstheme="minorHAnsi"/>
                <w:b/>
                <w:i/>
                <w:sz w:val="20"/>
              </w:rPr>
            </w:pPr>
            <w:r w:rsidRPr="00F6684D">
              <w:rPr>
                <w:rFonts w:cstheme="minorHAnsi"/>
                <w:b/>
                <w:i/>
                <w:sz w:val="20"/>
              </w:rPr>
              <w:t>Fórmula para determinar el % de aporte</w:t>
            </w:r>
          </w:p>
        </w:tc>
        <w:tc>
          <w:tcPr>
            <w:tcW w:w="2282" w:type="dxa"/>
            <w:shd w:val="clear" w:color="auto" w:fill="B8CCE4" w:themeFill="accent1" w:themeFillTint="66"/>
            <w:vAlign w:val="center"/>
          </w:tcPr>
          <w:p w:rsidR="00C7023C" w:rsidRPr="00F6684D" w:rsidRDefault="00F6684D" w:rsidP="00F6684D">
            <w:pPr>
              <w:jc w:val="center"/>
              <w:rPr>
                <w:rFonts w:cstheme="minorHAnsi"/>
                <w:b/>
                <w:i/>
                <w:sz w:val="20"/>
              </w:rPr>
            </w:pPr>
            <w:r w:rsidRPr="00F6684D">
              <w:rPr>
                <w:rFonts w:cstheme="minorHAnsi"/>
                <w:b/>
                <w:i/>
                <w:sz w:val="20"/>
              </w:rPr>
              <w:t>Fórmula de aporte</w:t>
            </w:r>
          </w:p>
          <w:p w:rsidR="00C7023C" w:rsidRPr="00F6684D" w:rsidRDefault="00C7023C" w:rsidP="00F6684D">
            <w:pPr>
              <w:jc w:val="center"/>
              <w:rPr>
                <w:rFonts w:cstheme="minorHAnsi"/>
                <w:b/>
                <w:i/>
                <w:sz w:val="20"/>
              </w:rPr>
            </w:pPr>
          </w:p>
        </w:tc>
      </w:tr>
      <w:tr w:rsidR="00C7023C" w:rsidRPr="00F6684D" w:rsidTr="00C7023C">
        <w:tc>
          <w:tcPr>
            <w:tcW w:w="6973" w:type="dxa"/>
            <w:gridSpan w:val="3"/>
            <w:shd w:val="clear" w:color="auto" w:fill="auto"/>
          </w:tcPr>
          <w:p w:rsidR="00C7023C" w:rsidRPr="00F6684D" w:rsidRDefault="00C7023C" w:rsidP="00C7023C">
            <w:pPr>
              <w:pStyle w:val="Prrafodelista"/>
              <w:ind w:left="290"/>
              <w:rPr>
                <w:rFonts w:cstheme="minorHAnsi"/>
                <w:b/>
                <w:i/>
                <w:sz w:val="16"/>
                <w:szCs w:val="14"/>
              </w:rPr>
            </w:pPr>
          </w:p>
          <w:p w:rsidR="00C7023C" w:rsidRPr="00F6684D" w:rsidRDefault="00C7023C" w:rsidP="00C7023C">
            <w:pPr>
              <w:pStyle w:val="Prrafodelista"/>
              <w:numPr>
                <w:ilvl w:val="0"/>
                <w:numId w:val="12"/>
              </w:numPr>
              <w:ind w:left="290" w:hanging="284"/>
              <w:rPr>
                <w:rFonts w:cstheme="minorHAnsi"/>
                <w:b/>
                <w:i/>
                <w:sz w:val="16"/>
                <w:szCs w:val="14"/>
              </w:rPr>
            </w:pPr>
            <w:r w:rsidRPr="00F6684D">
              <w:rPr>
                <w:rFonts w:cstheme="minorHAnsi"/>
                <w:b/>
                <w:i/>
                <w:sz w:val="16"/>
                <w:szCs w:val="14"/>
              </w:rPr>
              <w:t>Viviendas</w:t>
            </w:r>
            <w:r w:rsidRPr="00F6684D">
              <w:rPr>
                <w:rFonts w:cstheme="minorHAnsi"/>
                <w:i/>
                <w:sz w:val="16"/>
                <w:szCs w:val="14"/>
              </w:rPr>
              <w:t>:</w:t>
            </w:r>
          </w:p>
        </w:tc>
      </w:tr>
      <w:tr w:rsidR="00C7023C" w:rsidRPr="00F6684D" w:rsidTr="00C7023C">
        <w:tc>
          <w:tcPr>
            <w:tcW w:w="1759" w:type="dxa"/>
          </w:tcPr>
          <w:p w:rsidR="00C7023C" w:rsidRPr="00F6684D" w:rsidRDefault="00C7023C" w:rsidP="00C7023C">
            <w:pPr>
              <w:jc w:val="both"/>
              <w:rPr>
                <w:rFonts w:cstheme="minorHAnsi"/>
                <w:i/>
                <w:sz w:val="16"/>
                <w:szCs w:val="14"/>
              </w:rPr>
            </w:pPr>
          </w:p>
          <w:p w:rsidR="00C7023C" w:rsidRPr="00F6684D" w:rsidRDefault="00C7023C" w:rsidP="00C7023C">
            <w:pPr>
              <w:jc w:val="both"/>
              <w:rPr>
                <w:rFonts w:cstheme="minorHAnsi"/>
                <w:i/>
                <w:sz w:val="16"/>
                <w:szCs w:val="14"/>
              </w:rPr>
            </w:pPr>
            <w:r w:rsidRPr="00F6684D">
              <w:rPr>
                <w:rFonts w:cstheme="minorHAnsi"/>
                <w:i/>
                <w:sz w:val="16"/>
                <w:szCs w:val="14"/>
              </w:rPr>
              <w:t>Hasta 2.000 hab./ha</w:t>
            </w:r>
          </w:p>
        </w:tc>
        <w:tc>
          <w:tcPr>
            <w:tcW w:w="2932" w:type="dxa"/>
          </w:tcPr>
          <w:p w:rsidR="00C7023C" w:rsidRPr="00F6684D" w:rsidRDefault="00C7023C" w:rsidP="00C7023C">
            <w:pPr>
              <w:jc w:val="both"/>
              <w:rPr>
                <w:rFonts w:cstheme="minorHAnsi"/>
                <w:i/>
                <w:sz w:val="16"/>
                <w:szCs w:val="14"/>
              </w:rPr>
            </w:pPr>
          </w:p>
          <w:p w:rsidR="00C7023C" w:rsidRPr="00F6684D" w:rsidRDefault="00C7023C" w:rsidP="00C7023C">
            <w:pPr>
              <w:jc w:val="center"/>
              <w:rPr>
                <w:rFonts w:cstheme="minorHAnsi"/>
                <w:i/>
                <w:sz w:val="16"/>
                <w:szCs w:val="14"/>
                <w:u w:val="single"/>
              </w:rPr>
            </w:pPr>
            <w:r w:rsidRPr="00F6684D">
              <w:rPr>
                <w:rFonts w:cstheme="minorHAnsi"/>
                <w:i/>
                <w:sz w:val="16"/>
                <w:szCs w:val="14"/>
              </w:rPr>
              <w:t xml:space="preserve">% = </w:t>
            </w:r>
            <w:r w:rsidRPr="00F6684D">
              <w:rPr>
                <w:rFonts w:cstheme="minorHAnsi"/>
                <w:i/>
                <w:sz w:val="16"/>
                <w:szCs w:val="14"/>
                <w:u w:val="single"/>
              </w:rPr>
              <w:t>densidad bruta del proyecto *11</w:t>
            </w:r>
          </w:p>
          <w:p w:rsidR="00C7023C" w:rsidRPr="00F6684D" w:rsidRDefault="00C7023C" w:rsidP="00C7023C">
            <w:pPr>
              <w:jc w:val="center"/>
              <w:rPr>
                <w:rFonts w:cstheme="minorHAnsi"/>
                <w:i/>
                <w:sz w:val="16"/>
                <w:szCs w:val="14"/>
              </w:rPr>
            </w:pPr>
            <w:r w:rsidRPr="00F6684D">
              <w:rPr>
                <w:rFonts w:cstheme="minorHAnsi"/>
                <w:i/>
                <w:sz w:val="16"/>
                <w:szCs w:val="14"/>
              </w:rPr>
              <w:t>500</w:t>
            </w:r>
          </w:p>
        </w:tc>
        <w:tc>
          <w:tcPr>
            <w:tcW w:w="2282" w:type="dxa"/>
          </w:tcPr>
          <w:p w:rsidR="00C7023C" w:rsidRPr="00F6684D" w:rsidRDefault="00C7023C" w:rsidP="00C7023C">
            <w:pPr>
              <w:jc w:val="both"/>
              <w:rPr>
                <w:rFonts w:cstheme="minorHAnsi"/>
                <w:i/>
                <w:sz w:val="16"/>
                <w:szCs w:val="14"/>
              </w:rPr>
            </w:pPr>
          </w:p>
          <w:p w:rsidR="00C7023C" w:rsidRPr="00F6684D" w:rsidRDefault="00C7023C" w:rsidP="00C7023C">
            <w:pPr>
              <w:jc w:val="both"/>
              <w:rPr>
                <w:rFonts w:cstheme="minorHAnsi"/>
                <w:i/>
                <w:sz w:val="16"/>
                <w:szCs w:val="14"/>
              </w:rPr>
            </w:pPr>
            <w:r w:rsidRPr="00F6684D">
              <w:rPr>
                <w:rFonts w:cstheme="minorHAnsi"/>
                <w:i/>
                <w:sz w:val="16"/>
                <w:szCs w:val="14"/>
              </w:rPr>
              <w:t>% * avalúo fiscal del terreno = Total pago Municipal</w:t>
            </w:r>
          </w:p>
        </w:tc>
      </w:tr>
      <w:tr w:rsidR="00C7023C" w:rsidRPr="00F6684D" w:rsidTr="00C7023C">
        <w:tc>
          <w:tcPr>
            <w:tcW w:w="1759" w:type="dxa"/>
          </w:tcPr>
          <w:p w:rsidR="00C7023C" w:rsidRPr="00F6684D" w:rsidRDefault="00C7023C" w:rsidP="00C7023C">
            <w:pPr>
              <w:jc w:val="both"/>
              <w:rPr>
                <w:rFonts w:cstheme="minorHAnsi"/>
                <w:i/>
                <w:sz w:val="16"/>
                <w:szCs w:val="14"/>
              </w:rPr>
            </w:pPr>
            <w:r w:rsidRPr="00F6684D">
              <w:rPr>
                <w:rFonts w:cstheme="minorHAnsi"/>
                <w:i/>
                <w:sz w:val="16"/>
                <w:szCs w:val="14"/>
              </w:rPr>
              <w:t xml:space="preserve">Sobre 2.000 hab./ha </w:t>
            </w:r>
          </w:p>
        </w:tc>
        <w:tc>
          <w:tcPr>
            <w:tcW w:w="2932" w:type="dxa"/>
          </w:tcPr>
          <w:p w:rsidR="00C7023C" w:rsidRPr="00F6684D" w:rsidRDefault="00C7023C" w:rsidP="00C7023C">
            <w:pPr>
              <w:jc w:val="center"/>
              <w:rPr>
                <w:rFonts w:cstheme="minorHAnsi"/>
                <w:i/>
                <w:sz w:val="16"/>
                <w:szCs w:val="14"/>
              </w:rPr>
            </w:pPr>
            <w:r w:rsidRPr="00F6684D">
              <w:rPr>
                <w:rFonts w:cstheme="minorHAnsi"/>
                <w:i/>
                <w:sz w:val="16"/>
                <w:szCs w:val="14"/>
              </w:rPr>
              <w:t>--------</w:t>
            </w:r>
          </w:p>
        </w:tc>
        <w:tc>
          <w:tcPr>
            <w:tcW w:w="2282" w:type="dxa"/>
          </w:tcPr>
          <w:p w:rsidR="00C7023C" w:rsidRPr="00F6684D" w:rsidRDefault="00C7023C" w:rsidP="00C7023C">
            <w:pPr>
              <w:rPr>
                <w:rFonts w:cstheme="minorHAnsi"/>
                <w:i/>
                <w:sz w:val="16"/>
                <w:szCs w:val="14"/>
              </w:rPr>
            </w:pPr>
            <w:r w:rsidRPr="00F6684D">
              <w:rPr>
                <w:rFonts w:cstheme="minorHAnsi"/>
                <w:i/>
                <w:sz w:val="16"/>
                <w:szCs w:val="14"/>
              </w:rPr>
              <w:t>44 %  avalúo fiscal del terreno</w:t>
            </w:r>
          </w:p>
        </w:tc>
      </w:tr>
      <w:tr w:rsidR="00C7023C" w:rsidRPr="00F6684D" w:rsidTr="00C7023C">
        <w:tc>
          <w:tcPr>
            <w:tcW w:w="6973" w:type="dxa"/>
            <w:gridSpan w:val="3"/>
            <w:shd w:val="clear" w:color="auto" w:fill="auto"/>
          </w:tcPr>
          <w:p w:rsidR="00C7023C" w:rsidRPr="00F6684D" w:rsidRDefault="00C7023C" w:rsidP="00C7023C">
            <w:pPr>
              <w:pStyle w:val="Prrafodelista"/>
              <w:ind w:left="290"/>
              <w:rPr>
                <w:rFonts w:cstheme="minorHAnsi"/>
                <w:b/>
                <w:i/>
                <w:sz w:val="16"/>
                <w:szCs w:val="14"/>
              </w:rPr>
            </w:pPr>
          </w:p>
          <w:p w:rsidR="00C7023C" w:rsidRPr="00F6684D" w:rsidRDefault="00C7023C" w:rsidP="00C7023C">
            <w:pPr>
              <w:pStyle w:val="Prrafodelista"/>
              <w:numPr>
                <w:ilvl w:val="0"/>
                <w:numId w:val="12"/>
              </w:numPr>
              <w:ind w:left="290" w:right="-63" w:hanging="284"/>
              <w:rPr>
                <w:rFonts w:cstheme="minorHAnsi"/>
                <w:b/>
                <w:i/>
                <w:sz w:val="16"/>
                <w:szCs w:val="14"/>
              </w:rPr>
            </w:pPr>
            <w:r w:rsidRPr="00F6684D">
              <w:rPr>
                <w:rFonts w:cstheme="minorHAnsi"/>
                <w:b/>
                <w:i/>
                <w:sz w:val="16"/>
                <w:szCs w:val="14"/>
              </w:rPr>
              <w:t>Hogares de acogida, edificaciones y locales destinados al hospedaje y  Proyectos de equipamientos; Industria; bodegas; infraestructuras y otros destinos:</w:t>
            </w:r>
          </w:p>
        </w:tc>
      </w:tr>
      <w:tr w:rsidR="00C7023C" w:rsidRPr="00F6684D" w:rsidTr="00C7023C">
        <w:tc>
          <w:tcPr>
            <w:tcW w:w="1759" w:type="dxa"/>
            <w:shd w:val="clear" w:color="auto" w:fill="auto"/>
          </w:tcPr>
          <w:p w:rsidR="00C7023C" w:rsidRPr="00F6684D" w:rsidRDefault="00C7023C" w:rsidP="00C7023C">
            <w:pPr>
              <w:jc w:val="both"/>
              <w:rPr>
                <w:rFonts w:cstheme="minorHAnsi"/>
                <w:i/>
                <w:sz w:val="16"/>
                <w:szCs w:val="14"/>
              </w:rPr>
            </w:pPr>
            <w:r w:rsidRPr="00F6684D">
              <w:rPr>
                <w:rFonts w:cstheme="minorHAnsi"/>
                <w:i/>
                <w:sz w:val="16"/>
                <w:szCs w:val="14"/>
              </w:rPr>
              <w:t>Con densidad de ocupación hasta 8.000 personas</w:t>
            </w:r>
          </w:p>
        </w:tc>
        <w:tc>
          <w:tcPr>
            <w:tcW w:w="2932" w:type="dxa"/>
            <w:shd w:val="clear" w:color="auto" w:fill="auto"/>
          </w:tcPr>
          <w:p w:rsidR="00C7023C" w:rsidRPr="00F6684D" w:rsidRDefault="00C7023C" w:rsidP="00C7023C">
            <w:pPr>
              <w:jc w:val="center"/>
              <w:rPr>
                <w:rFonts w:cstheme="minorHAnsi"/>
                <w:i/>
                <w:sz w:val="16"/>
                <w:szCs w:val="14"/>
              </w:rPr>
            </w:pPr>
          </w:p>
          <w:p w:rsidR="00C7023C" w:rsidRPr="00F6684D" w:rsidRDefault="00C7023C" w:rsidP="00C7023C">
            <w:pPr>
              <w:jc w:val="center"/>
              <w:rPr>
                <w:rFonts w:cstheme="minorHAnsi"/>
                <w:i/>
                <w:sz w:val="16"/>
                <w:szCs w:val="14"/>
                <w:u w:val="single"/>
              </w:rPr>
            </w:pPr>
            <w:r w:rsidRPr="00F6684D">
              <w:rPr>
                <w:rFonts w:cstheme="minorHAnsi"/>
                <w:i/>
                <w:sz w:val="16"/>
                <w:szCs w:val="14"/>
              </w:rPr>
              <w:t xml:space="preserve">% = </w:t>
            </w:r>
            <w:r w:rsidRPr="00F6684D">
              <w:rPr>
                <w:rFonts w:cstheme="minorHAnsi"/>
                <w:i/>
                <w:sz w:val="16"/>
                <w:szCs w:val="14"/>
                <w:u w:val="single"/>
              </w:rPr>
              <w:t>Densidad de ocupación *11</w:t>
            </w:r>
          </w:p>
          <w:p w:rsidR="00C7023C" w:rsidRPr="00F6684D" w:rsidRDefault="00C7023C" w:rsidP="00C7023C">
            <w:pPr>
              <w:jc w:val="center"/>
              <w:rPr>
                <w:rFonts w:cstheme="minorHAnsi"/>
                <w:i/>
                <w:sz w:val="16"/>
                <w:szCs w:val="14"/>
              </w:rPr>
            </w:pPr>
            <w:r w:rsidRPr="00F6684D">
              <w:rPr>
                <w:rFonts w:cstheme="minorHAnsi"/>
                <w:i/>
                <w:sz w:val="16"/>
                <w:szCs w:val="14"/>
              </w:rPr>
              <w:t>2.000</w:t>
            </w:r>
          </w:p>
        </w:tc>
        <w:tc>
          <w:tcPr>
            <w:tcW w:w="2282" w:type="dxa"/>
            <w:shd w:val="clear" w:color="auto" w:fill="auto"/>
          </w:tcPr>
          <w:p w:rsidR="00C7023C" w:rsidRPr="00F6684D" w:rsidRDefault="00C7023C" w:rsidP="00C7023C">
            <w:pPr>
              <w:jc w:val="both"/>
              <w:rPr>
                <w:rFonts w:cstheme="minorHAnsi"/>
                <w:i/>
                <w:sz w:val="16"/>
                <w:szCs w:val="14"/>
              </w:rPr>
            </w:pPr>
            <w:r w:rsidRPr="00F6684D">
              <w:rPr>
                <w:rFonts w:cstheme="minorHAnsi"/>
                <w:i/>
                <w:sz w:val="16"/>
                <w:szCs w:val="14"/>
              </w:rPr>
              <w:t>% * avalúo fiscal del terreno = Total pago Municipal</w:t>
            </w:r>
          </w:p>
        </w:tc>
      </w:tr>
      <w:tr w:rsidR="00C7023C" w:rsidRPr="00F6684D" w:rsidTr="00C7023C">
        <w:tc>
          <w:tcPr>
            <w:tcW w:w="1759" w:type="dxa"/>
            <w:shd w:val="clear" w:color="auto" w:fill="auto"/>
          </w:tcPr>
          <w:p w:rsidR="00C7023C" w:rsidRPr="00F6684D" w:rsidRDefault="00C7023C" w:rsidP="00C7023C">
            <w:pPr>
              <w:jc w:val="both"/>
              <w:rPr>
                <w:rFonts w:cstheme="minorHAnsi"/>
                <w:i/>
                <w:sz w:val="16"/>
                <w:szCs w:val="14"/>
              </w:rPr>
            </w:pPr>
            <w:r w:rsidRPr="00F6684D">
              <w:rPr>
                <w:rFonts w:cstheme="minorHAnsi"/>
                <w:i/>
                <w:sz w:val="16"/>
                <w:szCs w:val="14"/>
              </w:rPr>
              <w:t xml:space="preserve">Con densidad de ocupación sobre 8.000 </w:t>
            </w:r>
          </w:p>
        </w:tc>
        <w:tc>
          <w:tcPr>
            <w:tcW w:w="2932" w:type="dxa"/>
            <w:shd w:val="clear" w:color="auto" w:fill="auto"/>
          </w:tcPr>
          <w:p w:rsidR="00C7023C" w:rsidRPr="00F6684D" w:rsidRDefault="00C7023C" w:rsidP="00C7023C">
            <w:pPr>
              <w:jc w:val="center"/>
              <w:rPr>
                <w:rFonts w:cstheme="minorHAnsi"/>
                <w:i/>
                <w:sz w:val="16"/>
                <w:szCs w:val="14"/>
              </w:rPr>
            </w:pPr>
            <w:r w:rsidRPr="00F6684D">
              <w:rPr>
                <w:rFonts w:cstheme="minorHAnsi"/>
                <w:i/>
                <w:sz w:val="16"/>
                <w:szCs w:val="14"/>
              </w:rPr>
              <w:t>--------</w:t>
            </w:r>
          </w:p>
        </w:tc>
        <w:tc>
          <w:tcPr>
            <w:tcW w:w="2282" w:type="dxa"/>
            <w:shd w:val="clear" w:color="auto" w:fill="auto"/>
          </w:tcPr>
          <w:p w:rsidR="00C7023C" w:rsidRPr="00F6684D" w:rsidRDefault="00C7023C" w:rsidP="00C7023C">
            <w:pPr>
              <w:rPr>
                <w:rFonts w:cstheme="minorHAnsi"/>
                <w:i/>
                <w:sz w:val="16"/>
                <w:szCs w:val="14"/>
              </w:rPr>
            </w:pPr>
            <w:r w:rsidRPr="00F6684D">
              <w:rPr>
                <w:rFonts w:cstheme="minorHAnsi"/>
                <w:i/>
                <w:sz w:val="16"/>
                <w:szCs w:val="14"/>
              </w:rPr>
              <w:t>44 %  avalúo fiscal del terreno</w:t>
            </w:r>
          </w:p>
        </w:tc>
      </w:tr>
    </w:tbl>
    <w:p w:rsidR="00C7023C" w:rsidRPr="00F45B3E" w:rsidRDefault="00F6684D" w:rsidP="00F45B3E">
      <w:pPr>
        <w:pStyle w:val="Prrafodelista"/>
        <w:spacing w:after="0" w:line="240" w:lineRule="auto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La tabla </w:t>
      </w:r>
      <w:r w:rsidR="00F45B3E">
        <w:rPr>
          <w:rFonts w:cstheme="minorHAnsi"/>
        </w:rPr>
        <w:t xml:space="preserve">exige </w:t>
      </w:r>
      <w:r w:rsidR="00831519">
        <w:rPr>
          <w:rFonts w:cstheme="minorHAnsi"/>
        </w:rPr>
        <w:t xml:space="preserve">un aporte mayor </w:t>
      </w:r>
      <w:r w:rsidR="00F45B3E">
        <w:rPr>
          <w:rFonts w:cstheme="minorHAnsi"/>
        </w:rPr>
        <w:t>al destino vivienda porque quienes las habiten van a producir nuevas demandas de espacios públicos en forma permanente</w:t>
      </w:r>
      <w:r w:rsidR="00831519">
        <w:rPr>
          <w:rFonts w:cstheme="minorHAnsi"/>
        </w:rPr>
        <w:t xml:space="preserve"> en </w:t>
      </w:r>
      <w:r w:rsidR="00914F6B">
        <w:rPr>
          <w:rFonts w:cstheme="minorHAnsi"/>
        </w:rPr>
        <w:t>la ciudad, especialmente en los tiempos de descanso laboral</w:t>
      </w:r>
      <w:r w:rsidR="00F45B3E">
        <w:rPr>
          <w:rFonts w:cstheme="minorHAnsi"/>
        </w:rPr>
        <w:t xml:space="preserve">. En cambio, los demás usos están asociados </w:t>
      </w:r>
      <w:r w:rsidR="00831519">
        <w:rPr>
          <w:rFonts w:cstheme="minorHAnsi"/>
        </w:rPr>
        <w:t xml:space="preserve">a </w:t>
      </w:r>
      <w:r w:rsidR="00F45B3E">
        <w:rPr>
          <w:rFonts w:cstheme="minorHAnsi"/>
        </w:rPr>
        <w:t>ocupa</w:t>
      </w:r>
      <w:r w:rsidR="00914F6B">
        <w:rPr>
          <w:rFonts w:cstheme="minorHAnsi"/>
        </w:rPr>
        <w:t xml:space="preserve">ciones más bien parciales, pues quienes </w:t>
      </w:r>
      <w:r w:rsidR="00F45B3E">
        <w:rPr>
          <w:rFonts w:cstheme="minorHAnsi"/>
        </w:rPr>
        <w:t xml:space="preserve"> </w:t>
      </w:r>
      <w:r w:rsidR="00914F6B">
        <w:rPr>
          <w:rFonts w:cstheme="minorHAnsi"/>
        </w:rPr>
        <w:t xml:space="preserve">ocupan esos edificios </w:t>
      </w:r>
      <w:r w:rsidR="00F45B3E">
        <w:rPr>
          <w:rFonts w:cstheme="minorHAnsi"/>
        </w:rPr>
        <w:t>son, a su vez, habitantes de viviendas localizados en otro lugar</w:t>
      </w:r>
      <w:r w:rsidR="00914F6B">
        <w:rPr>
          <w:rFonts w:cstheme="minorHAnsi"/>
        </w:rPr>
        <w:t>. A</w:t>
      </w:r>
      <w:r w:rsidR="00F45B3E">
        <w:rPr>
          <w:rFonts w:cstheme="minorHAnsi"/>
        </w:rPr>
        <w:t>dem</w:t>
      </w:r>
      <w:r w:rsidR="00831519">
        <w:rPr>
          <w:rFonts w:cstheme="minorHAnsi"/>
        </w:rPr>
        <w:t>á</w:t>
      </w:r>
      <w:r w:rsidR="00F45B3E">
        <w:rPr>
          <w:rFonts w:cstheme="minorHAnsi"/>
        </w:rPr>
        <w:t>s</w:t>
      </w:r>
      <w:r w:rsidR="00914F6B">
        <w:rPr>
          <w:rFonts w:cstheme="minorHAnsi"/>
        </w:rPr>
        <w:t xml:space="preserve">, </w:t>
      </w:r>
      <w:r w:rsidR="00F45B3E">
        <w:rPr>
          <w:rFonts w:cstheme="minorHAnsi"/>
        </w:rPr>
        <w:t xml:space="preserve">en muchos casos </w:t>
      </w:r>
      <w:r w:rsidR="00914F6B">
        <w:rPr>
          <w:rFonts w:cstheme="minorHAnsi"/>
        </w:rPr>
        <w:t xml:space="preserve">los otros usos dan lugar a </w:t>
      </w:r>
      <w:r w:rsidR="00F45B3E">
        <w:rPr>
          <w:rFonts w:cstheme="minorHAnsi"/>
        </w:rPr>
        <w:t>edificios de uso público</w:t>
      </w:r>
      <w:r w:rsidR="00914F6B">
        <w:rPr>
          <w:rFonts w:cstheme="minorHAnsi"/>
        </w:rPr>
        <w:t xml:space="preserve"> o uso colectivo</w:t>
      </w:r>
      <w:r w:rsidR="00F45B3E">
        <w:rPr>
          <w:rFonts w:cstheme="minorHAnsi"/>
        </w:rPr>
        <w:t xml:space="preserve">. </w:t>
      </w:r>
    </w:p>
    <w:p w:rsidR="00F6684D" w:rsidRPr="00F6684D" w:rsidRDefault="00F6684D" w:rsidP="00C7023C">
      <w:pPr>
        <w:pStyle w:val="Prrafodelista"/>
        <w:spacing w:after="0" w:line="240" w:lineRule="auto"/>
        <w:ind w:left="1440"/>
        <w:jc w:val="both"/>
        <w:rPr>
          <w:rFonts w:cstheme="minorHAnsi"/>
        </w:rPr>
      </w:pPr>
    </w:p>
    <w:p w:rsidR="00904D24" w:rsidRPr="00F6684D" w:rsidRDefault="00C7023C" w:rsidP="00C7023C">
      <w:pPr>
        <w:pStyle w:val="Prrafodelista"/>
        <w:numPr>
          <w:ilvl w:val="1"/>
          <w:numId w:val="5"/>
        </w:numPr>
        <w:spacing w:after="120" w:line="240" w:lineRule="auto"/>
        <w:contextualSpacing w:val="0"/>
        <w:jc w:val="both"/>
        <w:rPr>
          <w:rFonts w:cstheme="minorHAnsi"/>
        </w:rPr>
      </w:pPr>
      <w:r w:rsidRPr="00F6684D">
        <w:rPr>
          <w:rFonts w:cstheme="minorHAnsi"/>
        </w:rPr>
        <w:t>Se permite que el cumplimiento de estos deberes se realice combinando aportes (dinero) y suelo</w:t>
      </w:r>
      <w:r w:rsidR="00F6684D" w:rsidRPr="00F6684D">
        <w:rPr>
          <w:rFonts w:cstheme="minorHAnsi"/>
        </w:rPr>
        <w:t>.</w:t>
      </w:r>
    </w:p>
    <w:p w:rsidR="006A5E13" w:rsidRPr="006A5E13" w:rsidRDefault="006A5E13" w:rsidP="00AD61FF">
      <w:pPr>
        <w:pStyle w:val="Prrafodelista"/>
        <w:numPr>
          <w:ilvl w:val="0"/>
          <w:numId w:val="5"/>
        </w:numPr>
        <w:spacing w:after="120" w:line="240" w:lineRule="auto"/>
        <w:contextualSpacing w:val="0"/>
        <w:jc w:val="both"/>
        <w:rPr>
          <w:rFonts w:cstheme="minorHAnsi"/>
        </w:rPr>
      </w:pPr>
      <w:r w:rsidRPr="00555C73">
        <w:rPr>
          <w:rFonts w:cstheme="minorHAnsi"/>
          <w:u w:val="single"/>
        </w:rPr>
        <w:t>Se establecen los estándares mínimos de obras de urbanización exigibles fuera del terreno propio en ciertos casos</w:t>
      </w:r>
      <w:r>
        <w:rPr>
          <w:rFonts w:cstheme="minorHAnsi"/>
        </w:rPr>
        <w:t xml:space="preserve">: </w:t>
      </w:r>
      <w:r w:rsidR="00AD61FF">
        <w:rPr>
          <w:rFonts w:cstheme="minorHAnsi"/>
        </w:rPr>
        <w:t>Se modifica el a</w:t>
      </w:r>
      <w:r w:rsidR="00AD61FF" w:rsidRPr="00AD61FF">
        <w:rPr>
          <w:rFonts w:cstheme="minorHAnsi"/>
        </w:rPr>
        <w:t>rtículo</w:t>
      </w:r>
      <w:r w:rsidR="00AD61FF" w:rsidRPr="00AD61FF">
        <w:rPr>
          <w:rFonts w:cstheme="minorHAnsi"/>
        </w:rPr>
        <w:tab/>
        <w:t>2.2.4.</w:t>
      </w:r>
      <w:r w:rsidR="00AD61FF">
        <w:rPr>
          <w:rFonts w:cstheme="minorHAnsi"/>
        </w:rPr>
        <w:t xml:space="preserve"> OGUC para establ</w:t>
      </w:r>
      <w:r w:rsidR="00366D71">
        <w:rPr>
          <w:rFonts w:cstheme="minorHAnsi"/>
        </w:rPr>
        <w:t>e</w:t>
      </w:r>
      <w:r w:rsidR="00AD61FF">
        <w:rPr>
          <w:rFonts w:cstheme="minorHAnsi"/>
        </w:rPr>
        <w:t>cerlos cuando se t</w:t>
      </w:r>
      <w:r w:rsidRPr="006A5E13">
        <w:rPr>
          <w:rFonts w:cstheme="minorHAnsi"/>
        </w:rPr>
        <w:t>rate de proyectos desvinculados de la vialidad existente</w:t>
      </w:r>
    </w:p>
    <w:p w:rsidR="00061618" w:rsidRPr="00F6684D" w:rsidRDefault="00061618" w:rsidP="00A22DDA">
      <w:pPr>
        <w:pStyle w:val="Prrafodelista"/>
        <w:numPr>
          <w:ilvl w:val="0"/>
          <w:numId w:val="5"/>
        </w:numPr>
        <w:spacing w:after="120" w:line="240" w:lineRule="auto"/>
        <w:contextualSpacing w:val="0"/>
        <w:jc w:val="both"/>
        <w:rPr>
          <w:rFonts w:cstheme="minorHAnsi"/>
        </w:rPr>
      </w:pPr>
      <w:r w:rsidRPr="00F6684D">
        <w:rPr>
          <w:rFonts w:cstheme="minorHAnsi"/>
          <w:u w:val="single"/>
        </w:rPr>
        <w:t>Reglamentación de los planes de inversiones de infraestructura de movilidad y espacio público</w:t>
      </w:r>
      <w:r w:rsidRPr="00F6684D">
        <w:rPr>
          <w:rFonts w:cstheme="minorHAnsi"/>
        </w:rPr>
        <w:t>:</w:t>
      </w:r>
      <w:r w:rsidR="00A22DDA">
        <w:rPr>
          <w:rFonts w:cstheme="minorHAnsi"/>
        </w:rPr>
        <w:t xml:space="preserve"> Se agrega un nuevo </w:t>
      </w:r>
      <w:r w:rsidR="00A22DDA" w:rsidRPr="00A22DDA">
        <w:rPr>
          <w:rFonts w:cstheme="minorHAnsi"/>
        </w:rPr>
        <w:t xml:space="preserve">Capítulo 8 </w:t>
      </w:r>
      <w:r w:rsidR="00A22DDA">
        <w:rPr>
          <w:rFonts w:cstheme="minorHAnsi"/>
        </w:rPr>
        <w:t>al Título II, denominado “D</w:t>
      </w:r>
      <w:r w:rsidR="00A22DDA" w:rsidRPr="00A22DDA">
        <w:rPr>
          <w:rFonts w:cstheme="minorHAnsi"/>
        </w:rPr>
        <w:t>e los planes de inversiones en infraestructura de movilidad y espacio público</w:t>
      </w:r>
      <w:r w:rsidR="00A22DDA">
        <w:rPr>
          <w:rFonts w:cstheme="minorHAnsi"/>
        </w:rPr>
        <w:t>”, para regular estos nuevos planes.</w:t>
      </w:r>
    </w:p>
    <w:p w:rsidR="00061618" w:rsidRDefault="00061618" w:rsidP="00A22DDA">
      <w:pPr>
        <w:pStyle w:val="Prrafodelista"/>
        <w:numPr>
          <w:ilvl w:val="0"/>
          <w:numId w:val="5"/>
        </w:numPr>
        <w:spacing w:after="120" w:line="240" w:lineRule="auto"/>
        <w:contextualSpacing w:val="0"/>
        <w:jc w:val="both"/>
      </w:pPr>
      <w:r w:rsidRPr="00F6684D">
        <w:rPr>
          <w:rFonts w:cstheme="minorHAnsi"/>
          <w:u w:val="single"/>
        </w:rPr>
        <w:t>Ajustes necesarios en normas sobre</w:t>
      </w:r>
      <w:r w:rsidRPr="00061618">
        <w:rPr>
          <w:u w:val="single"/>
        </w:rPr>
        <w:t xml:space="preserve"> permisos y recepciones</w:t>
      </w:r>
      <w:r>
        <w:t>:</w:t>
      </w:r>
      <w:r w:rsidR="00A22DDA">
        <w:t xml:space="preserve"> Así, por ejemplo, se ajustan los arts. 3.1.5., 3.1.7., 3.1.9., </w:t>
      </w:r>
      <w:r w:rsidR="00A22DDA" w:rsidRPr="00A22DDA">
        <w:t>3.3.1</w:t>
      </w:r>
      <w:r w:rsidR="00A22DDA">
        <w:t xml:space="preserve">, </w:t>
      </w:r>
      <w:r w:rsidR="00A22DDA" w:rsidRPr="00A22DDA">
        <w:t>3.4.1.</w:t>
      </w:r>
      <w:r w:rsidR="00A22DDA">
        <w:t>, 5.1.6., etc.</w:t>
      </w:r>
    </w:p>
    <w:p w:rsidR="00A22DDA" w:rsidRDefault="00A22DDA" w:rsidP="00A22DDA">
      <w:pPr>
        <w:pStyle w:val="Prrafodelista"/>
        <w:spacing w:after="120" w:line="240" w:lineRule="auto"/>
        <w:ind w:left="360"/>
        <w:contextualSpacing w:val="0"/>
        <w:jc w:val="both"/>
        <w:rPr>
          <w:b/>
        </w:rPr>
      </w:pPr>
    </w:p>
    <w:p w:rsidR="00B95FEB" w:rsidRPr="00C7137B" w:rsidRDefault="00B95FEB" w:rsidP="00C7023C">
      <w:pPr>
        <w:pStyle w:val="Prrafodelista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b/>
        </w:rPr>
      </w:pPr>
      <w:r w:rsidRPr="00C7137B">
        <w:rPr>
          <w:b/>
        </w:rPr>
        <w:t xml:space="preserve">Descripción de la propuesta y efectos esperados. </w:t>
      </w:r>
    </w:p>
    <w:p w:rsidR="005273C5" w:rsidRDefault="005273C5" w:rsidP="00C7023C">
      <w:pPr>
        <w:spacing w:after="120" w:line="240" w:lineRule="auto"/>
        <w:jc w:val="both"/>
      </w:pPr>
      <w:r>
        <w:t xml:space="preserve">Los efectos esperados </w:t>
      </w:r>
      <w:r w:rsidR="00074828">
        <w:t xml:space="preserve">de esta modificación </w:t>
      </w:r>
      <w:r w:rsidR="003657DD">
        <w:t xml:space="preserve">son </w:t>
      </w:r>
      <w:r w:rsidR="00A22DDA">
        <w:t xml:space="preserve">que los proyectos que densifican </w:t>
      </w:r>
      <w:r w:rsidR="003657DD">
        <w:t xml:space="preserve">la ciudad contribuyan a mejorar sus espacios públicos y no los colapsen o deterioren quitándolos su funcionalidad, de una forma que sea </w:t>
      </w:r>
      <w:r w:rsidR="00366D71">
        <w:t xml:space="preserve">universal, proporcional, </w:t>
      </w:r>
      <w:r w:rsidR="003657DD">
        <w:t>predecible y eficaz</w:t>
      </w:r>
      <w:r w:rsidRPr="00F14069">
        <w:t>.</w:t>
      </w:r>
      <w:r w:rsidR="00F14069">
        <w:t xml:space="preserve"> </w:t>
      </w:r>
    </w:p>
    <w:sectPr w:rsidR="00527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9D8"/>
    <w:multiLevelType w:val="hybridMultilevel"/>
    <w:tmpl w:val="4C281B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64B8"/>
    <w:multiLevelType w:val="hybridMultilevel"/>
    <w:tmpl w:val="764CADFE"/>
    <w:lvl w:ilvl="0" w:tplc="81A06A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ED40C5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81429"/>
    <w:multiLevelType w:val="hybridMultilevel"/>
    <w:tmpl w:val="5A8C23E0"/>
    <w:lvl w:ilvl="0" w:tplc="C688DC22">
      <w:start w:val="2905"/>
      <w:numFmt w:val="bullet"/>
      <w:lvlText w:val="•"/>
      <w:lvlJc w:val="left"/>
      <w:pPr>
        <w:ind w:left="360" w:hanging="360"/>
      </w:pPr>
      <w:rPr>
        <w:rFonts w:ascii="Arial" w:hAnsi="Arial" w:hint="default"/>
        <w:b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ED40C5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1F573C"/>
    <w:multiLevelType w:val="hybridMultilevel"/>
    <w:tmpl w:val="B76C2C9E"/>
    <w:lvl w:ilvl="0" w:tplc="7ED40C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</w:rPr>
    </w:lvl>
    <w:lvl w:ilvl="1" w:tplc="EA1A7F9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7ED40C5E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4842F6"/>
    <w:multiLevelType w:val="hybridMultilevel"/>
    <w:tmpl w:val="C5781E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C0C2E"/>
    <w:multiLevelType w:val="hybridMultilevel"/>
    <w:tmpl w:val="F1142F02"/>
    <w:lvl w:ilvl="0" w:tplc="81A06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A1A7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ED40C5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179F6"/>
    <w:multiLevelType w:val="hybridMultilevel"/>
    <w:tmpl w:val="4E7EB39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EA1A7F9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7ED40C5E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984DC7"/>
    <w:multiLevelType w:val="hybridMultilevel"/>
    <w:tmpl w:val="C1CA1EAA"/>
    <w:lvl w:ilvl="0" w:tplc="DE2E053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A1A7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ED40C5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D5783"/>
    <w:multiLevelType w:val="hybridMultilevel"/>
    <w:tmpl w:val="EB9A01DA"/>
    <w:lvl w:ilvl="0" w:tplc="81A06A0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EA1A7F9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7ED40C5E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8E19D1"/>
    <w:multiLevelType w:val="hybridMultilevel"/>
    <w:tmpl w:val="168C66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ED40C5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F51A7A"/>
    <w:multiLevelType w:val="hybridMultilevel"/>
    <w:tmpl w:val="D0D888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80475"/>
    <w:multiLevelType w:val="hybridMultilevel"/>
    <w:tmpl w:val="2918EE1C"/>
    <w:lvl w:ilvl="0" w:tplc="4C1C3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7B"/>
    <w:rsid w:val="000325EB"/>
    <w:rsid w:val="00051FDE"/>
    <w:rsid w:val="00061618"/>
    <w:rsid w:val="00074828"/>
    <w:rsid w:val="0009514D"/>
    <w:rsid w:val="00105477"/>
    <w:rsid w:val="002718FD"/>
    <w:rsid w:val="00283250"/>
    <w:rsid w:val="002D05B7"/>
    <w:rsid w:val="003657DD"/>
    <w:rsid w:val="00366D71"/>
    <w:rsid w:val="003B61F6"/>
    <w:rsid w:val="00455ED3"/>
    <w:rsid w:val="00490DE0"/>
    <w:rsid w:val="004F1114"/>
    <w:rsid w:val="005273C5"/>
    <w:rsid w:val="00555C73"/>
    <w:rsid w:val="005879A6"/>
    <w:rsid w:val="00693E7D"/>
    <w:rsid w:val="006A5E13"/>
    <w:rsid w:val="006B31CE"/>
    <w:rsid w:val="007A5A47"/>
    <w:rsid w:val="007B4C35"/>
    <w:rsid w:val="007B580D"/>
    <w:rsid w:val="007D36DA"/>
    <w:rsid w:val="00831519"/>
    <w:rsid w:val="00835382"/>
    <w:rsid w:val="008412FA"/>
    <w:rsid w:val="00844FBA"/>
    <w:rsid w:val="00904D24"/>
    <w:rsid w:val="00914F6B"/>
    <w:rsid w:val="009D3A41"/>
    <w:rsid w:val="00A00304"/>
    <w:rsid w:val="00A22DDA"/>
    <w:rsid w:val="00A71A0E"/>
    <w:rsid w:val="00AD6067"/>
    <w:rsid w:val="00AD61FF"/>
    <w:rsid w:val="00AF79DA"/>
    <w:rsid w:val="00B95FEB"/>
    <w:rsid w:val="00BA2714"/>
    <w:rsid w:val="00BB5879"/>
    <w:rsid w:val="00C7023C"/>
    <w:rsid w:val="00C7137B"/>
    <w:rsid w:val="00CF529F"/>
    <w:rsid w:val="00D46E85"/>
    <w:rsid w:val="00D73132"/>
    <w:rsid w:val="00D80906"/>
    <w:rsid w:val="00D82094"/>
    <w:rsid w:val="00DF6A63"/>
    <w:rsid w:val="00E4725E"/>
    <w:rsid w:val="00E857BA"/>
    <w:rsid w:val="00EC6F0E"/>
    <w:rsid w:val="00F10A85"/>
    <w:rsid w:val="00F14069"/>
    <w:rsid w:val="00F45B3E"/>
    <w:rsid w:val="00F6684D"/>
    <w:rsid w:val="00F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13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1F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4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13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1F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4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882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Vivienda y Urbanismo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Rajevic Mosler</dc:creator>
  <cp:lastModifiedBy>Isidora Velasco Navarro</cp:lastModifiedBy>
  <cp:revision>9</cp:revision>
  <dcterms:created xsi:type="dcterms:W3CDTF">2017-01-17T10:49:00Z</dcterms:created>
  <dcterms:modified xsi:type="dcterms:W3CDTF">2017-01-23T16:06:00Z</dcterms:modified>
</cp:coreProperties>
</file>