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7AF" w:rsidRPr="0048223B" w:rsidRDefault="000E07AF" w:rsidP="00311C4D">
      <w:pPr>
        <w:spacing w:before="120" w:after="0"/>
        <w:jc w:val="both"/>
        <w:rPr>
          <w:rFonts w:ascii="Verdana" w:hAnsi="Verdana"/>
          <w:b/>
          <w:bCs/>
          <w:sz w:val="24"/>
          <w:szCs w:val="24"/>
          <w:lang w:val="es-ES_tradnl"/>
        </w:rPr>
      </w:pPr>
    </w:p>
    <w:p w:rsidR="0021299A" w:rsidRPr="0048223B" w:rsidRDefault="005C7846" w:rsidP="0021299A">
      <w:pPr>
        <w:spacing w:before="120" w:after="0"/>
        <w:jc w:val="center"/>
        <w:rPr>
          <w:rFonts w:ascii="Verdana" w:hAnsi="Verdana"/>
          <w:b/>
          <w:bCs/>
          <w:lang w:val="es-ES_tradnl"/>
        </w:rPr>
      </w:pPr>
      <w:r w:rsidRPr="0048223B">
        <w:rPr>
          <w:rFonts w:ascii="Verdana" w:hAnsi="Verdana"/>
          <w:b/>
          <w:bCs/>
          <w:lang w:val="es-ES_tradnl"/>
        </w:rPr>
        <w:t>MINUTA EXPLICATIVA DE LA PROPUESTA DE DECRETO SUPREMO.</w:t>
      </w:r>
      <w:r w:rsidR="0021299A" w:rsidRPr="0048223B">
        <w:rPr>
          <w:rFonts w:ascii="Verdana" w:hAnsi="Verdana"/>
          <w:b/>
          <w:bCs/>
          <w:lang w:val="es-ES_tradnl"/>
        </w:rPr>
        <w:t xml:space="preserve"> CONSULTA CIUDADANA</w:t>
      </w:r>
    </w:p>
    <w:p w:rsidR="0021299A" w:rsidRPr="0048223B" w:rsidRDefault="0021299A" w:rsidP="0021299A">
      <w:pPr>
        <w:spacing w:before="120" w:after="0"/>
        <w:jc w:val="center"/>
        <w:rPr>
          <w:rFonts w:ascii="Verdana" w:hAnsi="Verdana"/>
          <w:b/>
          <w:bCs/>
          <w:lang w:val="es-ES_tradnl"/>
        </w:rPr>
      </w:pPr>
      <w:r w:rsidRPr="0048223B">
        <w:rPr>
          <w:rFonts w:ascii="Verdana" w:hAnsi="Verdana"/>
          <w:b/>
          <w:bCs/>
          <w:lang w:val="es-ES_tradnl"/>
        </w:rPr>
        <w:t>(</w:t>
      </w:r>
      <w:r w:rsidR="00760984">
        <w:rPr>
          <w:rFonts w:ascii="Verdana" w:hAnsi="Verdana"/>
          <w:b/>
          <w:bCs/>
          <w:lang w:val="es-ES_tradnl"/>
        </w:rPr>
        <w:t>FEBRERO</w:t>
      </w:r>
      <w:r w:rsidRPr="0048223B">
        <w:rPr>
          <w:rFonts w:ascii="Verdana" w:hAnsi="Verdana"/>
          <w:b/>
          <w:bCs/>
          <w:lang w:val="es-ES_tradnl"/>
        </w:rPr>
        <w:t xml:space="preserve"> DE 201</w:t>
      </w:r>
      <w:r w:rsidR="00153A2B">
        <w:rPr>
          <w:rFonts w:ascii="Verdana" w:hAnsi="Verdana"/>
          <w:b/>
          <w:bCs/>
          <w:lang w:val="es-ES_tradnl"/>
        </w:rPr>
        <w:t>7</w:t>
      </w:r>
      <w:r w:rsidRPr="0048223B">
        <w:rPr>
          <w:rFonts w:ascii="Verdana" w:hAnsi="Verdana"/>
          <w:b/>
          <w:bCs/>
          <w:lang w:val="es-ES_tradnl"/>
        </w:rPr>
        <w:t>)</w:t>
      </w:r>
    </w:p>
    <w:p w:rsidR="000E07AF" w:rsidRPr="0048223B" w:rsidRDefault="000E07AF" w:rsidP="00311C4D">
      <w:pPr>
        <w:spacing w:before="120" w:after="0"/>
        <w:jc w:val="both"/>
        <w:rPr>
          <w:rFonts w:ascii="Verdana" w:hAnsi="Verdana"/>
          <w:b/>
          <w:bCs/>
          <w:lang w:val="es-ES_tradnl"/>
        </w:rPr>
      </w:pPr>
      <w:r w:rsidRPr="0048223B">
        <w:rPr>
          <w:rFonts w:ascii="Verdana" w:hAnsi="Verdana"/>
          <w:b/>
          <w:bCs/>
          <w:lang w:val="es-ES_tradnl"/>
        </w:rPr>
        <w:t>________________________________________________________</w:t>
      </w:r>
    </w:p>
    <w:p w:rsidR="0021299A" w:rsidRPr="0048223B" w:rsidRDefault="0021299A" w:rsidP="0021299A">
      <w:pPr>
        <w:spacing w:before="120" w:after="0"/>
        <w:jc w:val="center"/>
        <w:rPr>
          <w:rFonts w:ascii="Verdana" w:hAnsi="Verdana"/>
          <w:b/>
          <w:bCs/>
          <w:lang w:val="es-ES_tradnl"/>
        </w:rPr>
      </w:pPr>
      <w:r w:rsidRPr="0048223B">
        <w:rPr>
          <w:rFonts w:ascii="Verdana" w:hAnsi="Verdana"/>
          <w:b/>
          <w:bCs/>
          <w:lang w:val="es-ES_tradnl"/>
        </w:rPr>
        <w:t>MODIFICACI</w:t>
      </w:r>
      <w:r w:rsidR="00E802F7" w:rsidRPr="0048223B">
        <w:rPr>
          <w:rFonts w:ascii="Verdana" w:hAnsi="Verdana"/>
          <w:b/>
          <w:bCs/>
          <w:lang w:val="es-ES_tradnl"/>
        </w:rPr>
        <w:t>Ó</w:t>
      </w:r>
      <w:r w:rsidRPr="0048223B">
        <w:rPr>
          <w:rFonts w:ascii="Verdana" w:hAnsi="Verdana"/>
          <w:b/>
          <w:bCs/>
          <w:lang w:val="es-ES_tradnl"/>
        </w:rPr>
        <w:t xml:space="preserve">N A LA ORDENANZA GENERAL DE URBANISMO Y CONSTRUCCIONES </w:t>
      </w:r>
      <w:r w:rsidR="00766458" w:rsidRPr="0048223B">
        <w:rPr>
          <w:rFonts w:ascii="Verdana" w:hAnsi="Verdana"/>
          <w:b/>
          <w:bCs/>
          <w:lang w:val="es-ES_tradnl"/>
        </w:rPr>
        <w:t xml:space="preserve">(OGUC) </w:t>
      </w:r>
      <w:r w:rsidRPr="0048223B">
        <w:rPr>
          <w:rFonts w:ascii="Verdana" w:hAnsi="Verdana"/>
          <w:b/>
          <w:bCs/>
          <w:lang w:val="es-ES_tradnl"/>
        </w:rPr>
        <w:t xml:space="preserve">EN MATERIA DE </w:t>
      </w:r>
    </w:p>
    <w:p w:rsidR="000E07AF" w:rsidRPr="0048223B" w:rsidRDefault="00153A2B" w:rsidP="00153A2B">
      <w:pPr>
        <w:spacing w:before="120" w:after="0"/>
        <w:jc w:val="center"/>
        <w:rPr>
          <w:rFonts w:ascii="Verdana" w:hAnsi="Verdana"/>
          <w:b/>
          <w:bCs/>
          <w:lang w:val="es-ES_tradnl"/>
        </w:rPr>
      </w:pPr>
      <w:r w:rsidRPr="00153A2B">
        <w:rPr>
          <w:rFonts w:ascii="Verdana" w:hAnsi="Verdana"/>
          <w:b/>
          <w:bCs/>
          <w:lang w:val="es-ES_tradnl"/>
        </w:rPr>
        <w:t>INSTALACIONES SANITARIAS Y ENERGÉTICAS</w:t>
      </w:r>
    </w:p>
    <w:p w:rsidR="00E802F7" w:rsidRPr="0048223B" w:rsidRDefault="00E802F7" w:rsidP="00311C4D">
      <w:pPr>
        <w:spacing w:before="120" w:after="0"/>
        <w:jc w:val="both"/>
        <w:rPr>
          <w:rFonts w:ascii="Verdana" w:hAnsi="Verdana"/>
          <w:b/>
          <w:bCs/>
          <w:lang w:val="es-ES_tradnl"/>
        </w:rPr>
      </w:pPr>
    </w:p>
    <w:p w:rsidR="000E07AF" w:rsidRPr="0048223B" w:rsidRDefault="004509E6" w:rsidP="00311C4D">
      <w:pPr>
        <w:numPr>
          <w:ilvl w:val="0"/>
          <w:numId w:val="2"/>
        </w:numPr>
        <w:spacing w:before="120" w:after="0"/>
        <w:ind w:hanging="1080"/>
        <w:jc w:val="both"/>
        <w:rPr>
          <w:rFonts w:ascii="Verdana" w:hAnsi="Verdana"/>
          <w:b/>
          <w:bCs/>
          <w:lang w:val="es-ES_tradnl"/>
        </w:rPr>
      </w:pPr>
      <w:r w:rsidRPr="0048223B">
        <w:rPr>
          <w:rFonts w:ascii="Verdana" w:hAnsi="Verdana"/>
          <w:b/>
          <w:bCs/>
          <w:lang w:val="es-ES_tradnl"/>
        </w:rPr>
        <w:t>IDENTIFICACIÓN</w:t>
      </w:r>
      <w:r w:rsidR="000E07AF" w:rsidRPr="0048223B">
        <w:rPr>
          <w:rFonts w:ascii="Verdana" w:hAnsi="Verdana"/>
          <w:b/>
          <w:bCs/>
          <w:lang w:val="es-ES_tradnl"/>
        </w:rPr>
        <w:t xml:space="preserve"> DE LA PROPUESTA NORMATIVA.</w:t>
      </w:r>
    </w:p>
    <w:p w:rsidR="00153A2B" w:rsidRDefault="00CC4B60" w:rsidP="00311C4D">
      <w:pPr>
        <w:spacing w:before="120" w:after="0"/>
        <w:jc w:val="both"/>
        <w:rPr>
          <w:rFonts w:ascii="Verdana" w:hAnsi="Verdana"/>
          <w:bCs/>
          <w:lang w:val="es-ES_tradnl"/>
        </w:rPr>
      </w:pPr>
      <w:r w:rsidRPr="0048223B">
        <w:rPr>
          <w:rFonts w:ascii="Verdana" w:hAnsi="Verdana"/>
          <w:bCs/>
          <w:lang w:val="es-ES_tradnl"/>
        </w:rPr>
        <w:t>Propuesta de decreto supremo para modificar</w:t>
      </w:r>
      <w:r w:rsidR="000E07AF" w:rsidRPr="0048223B">
        <w:rPr>
          <w:rFonts w:ascii="Verdana" w:hAnsi="Verdana"/>
          <w:bCs/>
          <w:lang w:val="es-ES_tradnl"/>
        </w:rPr>
        <w:t xml:space="preserve"> la Ordenanza General de Urbanismo y Construcciones</w:t>
      </w:r>
      <w:r w:rsidR="001C0241" w:rsidRPr="0048223B">
        <w:rPr>
          <w:rFonts w:ascii="Verdana" w:hAnsi="Verdana"/>
          <w:bCs/>
          <w:lang w:val="es-ES_tradnl"/>
        </w:rPr>
        <w:t xml:space="preserve"> (OGUC)</w:t>
      </w:r>
      <w:r w:rsidR="000E07AF" w:rsidRPr="0048223B">
        <w:rPr>
          <w:rFonts w:ascii="Verdana" w:hAnsi="Verdana"/>
          <w:bCs/>
          <w:lang w:val="es-ES_tradnl"/>
        </w:rPr>
        <w:t>, en materia de</w:t>
      </w:r>
      <w:r w:rsidR="00153A2B">
        <w:rPr>
          <w:rFonts w:ascii="Verdana" w:hAnsi="Verdana"/>
          <w:bCs/>
          <w:lang w:val="es-ES_tradnl"/>
        </w:rPr>
        <w:t xml:space="preserve"> </w:t>
      </w:r>
      <w:r w:rsidR="00153A2B" w:rsidRPr="00153A2B">
        <w:rPr>
          <w:rFonts w:ascii="Verdana" w:hAnsi="Verdana"/>
          <w:bCs/>
          <w:lang w:val="es-ES_tradnl"/>
        </w:rPr>
        <w:t>instalaciones sanitarias y energéticas que se cuentan entre las soluciones domiciliarias que el artículo 134° de la Ley General de Urbanismo y Construcciones (LGUC) entrega a la</w:t>
      </w:r>
      <w:r w:rsidR="00153A2B">
        <w:rPr>
          <w:rFonts w:ascii="Verdana" w:hAnsi="Verdana"/>
          <w:bCs/>
          <w:lang w:val="es-ES_tradnl"/>
        </w:rPr>
        <w:t xml:space="preserve"> responsabilidad del urbanizador, para que se consideren siempre admitidas, cuando cumplan con las condiciones que a continuación se detallan.</w:t>
      </w:r>
    </w:p>
    <w:p w:rsidR="000E07AF" w:rsidRPr="0048223B" w:rsidRDefault="000E07AF" w:rsidP="00311C4D">
      <w:pPr>
        <w:spacing w:before="120" w:after="0"/>
        <w:jc w:val="both"/>
        <w:rPr>
          <w:rFonts w:ascii="Verdana" w:hAnsi="Verdana"/>
          <w:b/>
          <w:bCs/>
          <w:lang w:val="es-ES_tradnl"/>
        </w:rPr>
      </w:pPr>
    </w:p>
    <w:p w:rsidR="000E07AF" w:rsidRPr="00430092" w:rsidRDefault="004509E6" w:rsidP="00311C4D">
      <w:pPr>
        <w:numPr>
          <w:ilvl w:val="0"/>
          <w:numId w:val="2"/>
        </w:numPr>
        <w:spacing w:before="120" w:after="0"/>
        <w:ind w:hanging="1080"/>
        <w:jc w:val="both"/>
        <w:rPr>
          <w:rFonts w:ascii="Verdana" w:hAnsi="Verdana"/>
          <w:b/>
          <w:bCs/>
          <w:lang w:val="es-ES_tradnl"/>
        </w:rPr>
      </w:pPr>
      <w:r w:rsidRPr="00FA7C2D">
        <w:rPr>
          <w:rFonts w:ascii="Verdana" w:hAnsi="Verdana"/>
          <w:b/>
          <w:bCs/>
          <w:lang w:val="es-ES_tradnl"/>
        </w:rPr>
        <w:t>DESCRIPCIÓN</w:t>
      </w:r>
      <w:r w:rsidR="000E07AF" w:rsidRPr="00FA7C2D">
        <w:rPr>
          <w:rFonts w:ascii="Verdana" w:hAnsi="Verdana"/>
          <w:b/>
          <w:bCs/>
          <w:lang w:val="es-ES_tradnl"/>
        </w:rPr>
        <w:t xml:space="preserve"> DEL PROBLEMA O NECESIDAD QUE MOTIVA LA </w:t>
      </w:r>
      <w:r w:rsidRPr="00430092">
        <w:rPr>
          <w:rFonts w:ascii="Verdana" w:hAnsi="Verdana"/>
          <w:b/>
          <w:bCs/>
          <w:lang w:val="es-ES_tradnl"/>
        </w:rPr>
        <w:t>ELABORACIÓN</w:t>
      </w:r>
      <w:r w:rsidR="000E07AF" w:rsidRPr="00430092">
        <w:rPr>
          <w:rFonts w:ascii="Verdana" w:hAnsi="Verdana"/>
          <w:b/>
          <w:bCs/>
          <w:lang w:val="es-ES_tradnl"/>
        </w:rPr>
        <w:t xml:space="preserve"> DE ESTA </w:t>
      </w:r>
      <w:r w:rsidRPr="00430092">
        <w:rPr>
          <w:rFonts w:ascii="Verdana" w:hAnsi="Verdana"/>
          <w:b/>
          <w:bCs/>
          <w:lang w:val="es-ES_tradnl"/>
        </w:rPr>
        <w:t>MODIFICACIÓN</w:t>
      </w:r>
      <w:r w:rsidR="000E07AF" w:rsidRPr="00430092">
        <w:rPr>
          <w:rFonts w:ascii="Verdana" w:hAnsi="Verdana"/>
          <w:b/>
          <w:bCs/>
          <w:lang w:val="es-ES_tradnl"/>
        </w:rPr>
        <w:t xml:space="preserve"> DE LA OGUC.</w:t>
      </w:r>
    </w:p>
    <w:p w:rsidR="0021299A" w:rsidRPr="00430092" w:rsidRDefault="00FA7C2D" w:rsidP="00FA7C2D">
      <w:pPr>
        <w:pStyle w:val="Prrafodelista"/>
        <w:numPr>
          <w:ilvl w:val="0"/>
          <w:numId w:val="7"/>
        </w:numPr>
        <w:spacing w:before="120" w:after="0"/>
        <w:ind w:left="1134" w:hanging="1134"/>
        <w:contextualSpacing w:val="0"/>
        <w:jc w:val="both"/>
        <w:rPr>
          <w:rFonts w:ascii="Verdana" w:hAnsi="Verdana"/>
          <w:bCs/>
          <w:i/>
          <w:lang w:val="es-ES_tradnl"/>
        </w:rPr>
      </w:pPr>
      <w:r w:rsidRPr="00430092">
        <w:rPr>
          <w:rFonts w:ascii="Verdana" w:hAnsi="Verdana"/>
          <w:bCs/>
          <w:lang w:val="es-ES_tradnl"/>
        </w:rPr>
        <w:t xml:space="preserve">El artículo 134° de la LGUC, estipula que: </w:t>
      </w:r>
      <w:r w:rsidRPr="00430092">
        <w:rPr>
          <w:rFonts w:ascii="Verdana" w:hAnsi="Verdana"/>
          <w:bCs/>
          <w:i/>
          <w:lang w:val="es-ES_tradnl"/>
        </w:rPr>
        <w:t>“[p]ara urbanizar un terreno, el propietario del mismo deberá ejecutar, a su costa, el pavimento de las calles y pasajes, las plantaciones y obras de ornato, las instalaciones sanitarias y energéticas, con sus obras de alimentación y desagües de aguas servidas y de aguas lluvias, y las obras de defensa y de servicio de terreno”.</w:t>
      </w:r>
    </w:p>
    <w:p w:rsidR="000715FB" w:rsidRPr="00C945F2" w:rsidRDefault="000715FB" w:rsidP="00C945F2">
      <w:pPr>
        <w:shd w:val="clear" w:color="auto" w:fill="FFFFFF"/>
        <w:spacing w:after="0" w:line="240" w:lineRule="auto"/>
        <w:ind w:left="3540"/>
        <w:contextualSpacing/>
        <w:jc w:val="both"/>
        <w:rPr>
          <w:rFonts w:ascii="Verdana" w:eastAsia="Times New Roman" w:hAnsi="Verdana" w:cs="Arial"/>
          <w:bCs/>
          <w:highlight w:val="yellow"/>
          <w:lang w:val="es-ES_tradnl" w:eastAsia="es-ES"/>
        </w:rPr>
      </w:pPr>
    </w:p>
    <w:p w:rsidR="005B3647" w:rsidRPr="005B3647" w:rsidRDefault="005B3647" w:rsidP="005B3647">
      <w:pPr>
        <w:pStyle w:val="Prrafodelista"/>
        <w:numPr>
          <w:ilvl w:val="0"/>
          <w:numId w:val="7"/>
        </w:numPr>
        <w:ind w:left="1134" w:hanging="1134"/>
        <w:jc w:val="both"/>
        <w:rPr>
          <w:rFonts w:ascii="Verdana" w:eastAsia="Times New Roman" w:hAnsi="Verdana" w:cs="Arial"/>
          <w:bCs/>
          <w:lang w:val="es-ES_tradnl" w:eastAsia="es-ES"/>
        </w:rPr>
      </w:pPr>
      <w:r w:rsidRPr="005B3647">
        <w:rPr>
          <w:rFonts w:ascii="Verdana" w:eastAsia="Times New Roman" w:hAnsi="Verdana" w:cs="Arial"/>
          <w:bCs/>
          <w:lang w:val="es-ES_tradnl" w:eastAsia="es-ES"/>
        </w:rPr>
        <w:t xml:space="preserve">El artículo 2.1.24 de la OGUC, determina los tipos de usos de suelo que deben definir los Instrumentos de Planificación Territorial (IPT), en el ámbito que corresponda, los que son susceptibles de emplazarse simultáneamente en </w:t>
      </w:r>
      <w:r>
        <w:rPr>
          <w:rFonts w:ascii="Verdana" w:eastAsia="Times New Roman" w:hAnsi="Verdana" w:cs="Arial"/>
          <w:bCs/>
          <w:lang w:val="es-ES_tradnl" w:eastAsia="es-ES"/>
        </w:rPr>
        <w:t>un</w:t>
      </w:r>
      <w:r w:rsidRPr="005B3647">
        <w:rPr>
          <w:rFonts w:ascii="Verdana" w:eastAsia="Times New Roman" w:hAnsi="Verdana" w:cs="Arial"/>
          <w:bCs/>
          <w:lang w:val="es-ES_tradnl" w:eastAsia="es-ES"/>
        </w:rPr>
        <w:t>a misma zona</w:t>
      </w:r>
      <w:r>
        <w:rPr>
          <w:rFonts w:ascii="Verdana" w:eastAsia="Times New Roman" w:hAnsi="Verdana" w:cs="Arial"/>
          <w:bCs/>
          <w:lang w:val="es-ES_tradnl" w:eastAsia="es-ES"/>
        </w:rPr>
        <w:t>.</w:t>
      </w:r>
    </w:p>
    <w:p w:rsidR="005B3647" w:rsidRPr="005B3647" w:rsidRDefault="005B3647" w:rsidP="005B3647">
      <w:pPr>
        <w:pStyle w:val="Prrafodelista"/>
        <w:rPr>
          <w:rFonts w:ascii="Verdana" w:eastAsia="Times New Roman" w:hAnsi="Verdana" w:cs="Arial"/>
          <w:bCs/>
          <w:lang w:val="es-ES_tradnl" w:eastAsia="es-ES"/>
        </w:rPr>
      </w:pPr>
    </w:p>
    <w:p w:rsidR="00153A2B" w:rsidRPr="00430092" w:rsidRDefault="00153A2B" w:rsidP="00C945F2">
      <w:pPr>
        <w:pStyle w:val="Prrafodelista"/>
        <w:numPr>
          <w:ilvl w:val="0"/>
          <w:numId w:val="7"/>
        </w:numPr>
        <w:ind w:left="1134" w:hanging="1134"/>
        <w:jc w:val="both"/>
        <w:rPr>
          <w:rFonts w:ascii="Verdana" w:eastAsia="Times New Roman" w:hAnsi="Verdana" w:cs="Arial"/>
          <w:bCs/>
          <w:lang w:val="es-ES_tradnl" w:eastAsia="es-ES"/>
        </w:rPr>
      </w:pPr>
      <w:r w:rsidRPr="00C945F2">
        <w:rPr>
          <w:rFonts w:ascii="Verdana" w:eastAsia="Times New Roman" w:hAnsi="Verdana" w:cs="Arial"/>
          <w:bCs/>
          <w:lang w:val="es-ES_tradnl" w:eastAsia="es-ES"/>
        </w:rPr>
        <w:t>El artículo 2.1.</w:t>
      </w:r>
      <w:r w:rsidR="005B3647">
        <w:rPr>
          <w:rFonts w:ascii="Verdana" w:eastAsia="Times New Roman" w:hAnsi="Verdana" w:cs="Arial"/>
          <w:bCs/>
          <w:lang w:val="es-ES_tradnl" w:eastAsia="es-ES"/>
        </w:rPr>
        <w:t>2</w:t>
      </w:r>
      <w:r w:rsidRPr="00C945F2">
        <w:rPr>
          <w:rFonts w:ascii="Verdana" w:eastAsia="Times New Roman" w:hAnsi="Verdana" w:cs="Arial"/>
          <w:bCs/>
          <w:lang w:val="es-ES_tradnl" w:eastAsia="es-ES"/>
        </w:rPr>
        <w:t xml:space="preserve">9. de la OGUC, detalla el tipo de uso de suelo que corresponde a infraestructura. Además, establece que </w:t>
      </w:r>
      <w:r w:rsidRPr="00C945F2">
        <w:rPr>
          <w:rFonts w:ascii="Verdana" w:eastAsia="Times New Roman" w:hAnsi="Verdana" w:cs="Arial"/>
          <w:bCs/>
          <w:i/>
          <w:lang w:val="es-ES_tradnl" w:eastAsia="es-ES"/>
        </w:rPr>
        <w:t xml:space="preserve">“[l]as redes </w:t>
      </w:r>
      <w:r w:rsidRPr="00430092">
        <w:rPr>
          <w:rFonts w:ascii="Verdana" w:eastAsia="Times New Roman" w:hAnsi="Verdana" w:cs="Arial"/>
          <w:bCs/>
          <w:i/>
          <w:lang w:val="es-ES_tradnl" w:eastAsia="es-ES"/>
        </w:rPr>
        <w:t>de distribución, redes de comunicaciones y de servicios domiciliarios y en general los trazados de infraestructura se entenderán siempre admitidos y se sujetarán a las disposiciones que establezcan los organismos competentes”.</w:t>
      </w:r>
    </w:p>
    <w:p w:rsidR="00153A2B" w:rsidRPr="00430092" w:rsidRDefault="005B3647" w:rsidP="005B3647">
      <w:pPr>
        <w:pStyle w:val="Prrafodelista"/>
        <w:numPr>
          <w:ilvl w:val="0"/>
          <w:numId w:val="7"/>
        </w:numPr>
        <w:spacing w:before="120" w:after="0"/>
        <w:ind w:left="1134" w:hanging="1134"/>
        <w:contextualSpacing w:val="0"/>
        <w:jc w:val="both"/>
        <w:rPr>
          <w:rFonts w:ascii="Verdana" w:eastAsia="Times New Roman" w:hAnsi="Verdana" w:cs="Arial"/>
          <w:bCs/>
          <w:lang w:val="es-ES_tradnl" w:eastAsia="es-ES"/>
        </w:rPr>
      </w:pPr>
      <w:bookmarkStart w:id="0" w:name="_GoBack"/>
      <w:r w:rsidRPr="00430092">
        <w:rPr>
          <w:rFonts w:ascii="Verdana" w:eastAsia="Times New Roman" w:hAnsi="Verdana" w:cs="Arial"/>
          <w:bCs/>
          <w:lang w:val="es-ES_tradnl" w:eastAsia="es-ES"/>
        </w:rPr>
        <w:lastRenderedPageBreak/>
        <w:t>De acuerdo con lo estipulado en el Dictamen N° 45.507 de 2015, de la Contraloría General de la República (GGR), no es posible entender que forman parte de la red, y por tanto entenderlas como siempre admitidas, las soluciones domiciliarias que el artículo 134° LGUC entrega a la responsabilidad del urbanizador, entre las que se incluyen las instalaciones sanitarias y energéticas.</w:t>
      </w:r>
    </w:p>
    <w:bookmarkEnd w:id="0"/>
    <w:p w:rsidR="00153A2B" w:rsidRPr="00430092" w:rsidRDefault="005B3647" w:rsidP="005B3647">
      <w:pPr>
        <w:pStyle w:val="Prrafodelista"/>
        <w:numPr>
          <w:ilvl w:val="0"/>
          <w:numId w:val="7"/>
        </w:numPr>
        <w:spacing w:before="120" w:after="0"/>
        <w:ind w:left="1134" w:hanging="1134"/>
        <w:contextualSpacing w:val="0"/>
        <w:jc w:val="both"/>
        <w:rPr>
          <w:rFonts w:ascii="Verdana" w:eastAsia="Times New Roman" w:hAnsi="Verdana" w:cs="Arial"/>
          <w:bCs/>
          <w:lang w:val="es-ES_tradnl" w:eastAsia="es-ES"/>
        </w:rPr>
      </w:pPr>
      <w:r w:rsidRPr="00430092">
        <w:rPr>
          <w:rFonts w:ascii="Verdana" w:eastAsia="Times New Roman" w:hAnsi="Verdana" w:cs="Arial"/>
          <w:bCs/>
          <w:lang w:val="es-ES_tradnl" w:eastAsia="es-ES"/>
        </w:rPr>
        <w:t>Conforme a lo anterior, puede suceder que, en áreas urbanas en que se ubiquen proyectos inmobiliarios y que se encuentren fuera del área de operación de una concesión sanitaria, estos no puedan establecer soluciones particulares que permitan funcionamiento apropiado de las edificaciones, cuando el instrumento de planificación territorial respectivo no contemple para el área en cuestión el uso de suelo infraestructura. Lo mismo podría ocurrir con ciertas instalaciones energéticas.</w:t>
      </w:r>
    </w:p>
    <w:p w:rsidR="007E27B4" w:rsidRDefault="007E27B4" w:rsidP="007E27B4">
      <w:pPr>
        <w:pStyle w:val="Prrafodelista"/>
        <w:spacing w:before="120" w:after="0"/>
        <w:ind w:left="1134"/>
        <w:contextualSpacing w:val="0"/>
        <w:jc w:val="both"/>
        <w:rPr>
          <w:rFonts w:ascii="Verdana" w:eastAsia="Times New Roman" w:hAnsi="Verdana" w:cs="Arial"/>
          <w:bCs/>
          <w:highlight w:val="yellow"/>
          <w:lang w:val="es-ES_tradnl" w:eastAsia="es-ES"/>
        </w:rPr>
      </w:pPr>
    </w:p>
    <w:p w:rsidR="007E27B4" w:rsidRPr="007E27B4" w:rsidRDefault="007E27B4" w:rsidP="007E27B4">
      <w:pPr>
        <w:pStyle w:val="Prrafodelista"/>
        <w:numPr>
          <w:ilvl w:val="0"/>
          <w:numId w:val="7"/>
        </w:numPr>
        <w:ind w:left="1134" w:hanging="1134"/>
        <w:jc w:val="both"/>
        <w:rPr>
          <w:rFonts w:ascii="Verdana" w:eastAsia="Times New Roman" w:hAnsi="Verdana" w:cs="Arial"/>
          <w:bCs/>
          <w:lang w:val="es-ES_tradnl" w:eastAsia="es-ES"/>
        </w:rPr>
      </w:pPr>
      <w:r w:rsidRPr="007E27B4">
        <w:rPr>
          <w:rFonts w:ascii="Verdana" w:eastAsia="Times New Roman" w:hAnsi="Verdana" w:cs="Arial"/>
          <w:bCs/>
          <w:lang w:val="es-ES_tradnl" w:eastAsia="es-ES"/>
        </w:rPr>
        <w:t>Por esta razón, se propone modificar el artículo 2.1.29. de la OGUC para que la situación descrita en el punto 5 no ocurra.</w:t>
      </w:r>
    </w:p>
    <w:p w:rsidR="00E802F7" w:rsidRPr="00153A2B" w:rsidRDefault="00E802F7" w:rsidP="000715FB">
      <w:pPr>
        <w:spacing w:after="0" w:line="240" w:lineRule="auto"/>
        <w:ind w:left="720"/>
        <w:contextualSpacing/>
        <w:rPr>
          <w:rFonts w:ascii="Verdana" w:eastAsia="Times New Roman" w:hAnsi="Verdana" w:cs="Arial"/>
          <w:bCs/>
          <w:sz w:val="24"/>
          <w:szCs w:val="24"/>
          <w:highlight w:val="yellow"/>
          <w:lang w:val="es-ES_tradnl" w:eastAsia="es-ES"/>
        </w:rPr>
      </w:pPr>
    </w:p>
    <w:p w:rsidR="000E07AF" w:rsidRPr="007E27B4" w:rsidRDefault="000E07AF" w:rsidP="00905914">
      <w:pPr>
        <w:numPr>
          <w:ilvl w:val="0"/>
          <w:numId w:val="2"/>
        </w:numPr>
        <w:spacing w:before="120" w:after="0"/>
        <w:ind w:hanging="1080"/>
        <w:jc w:val="both"/>
        <w:rPr>
          <w:rFonts w:ascii="Verdana" w:hAnsi="Verdana"/>
          <w:b/>
          <w:bCs/>
          <w:lang w:val="es-ES_tradnl"/>
        </w:rPr>
      </w:pPr>
      <w:r w:rsidRPr="007E27B4">
        <w:rPr>
          <w:rFonts w:ascii="Verdana" w:hAnsi="Verdana"/>
          <w:b/>
          <w:bCs/>
          <w:lang w:val="es-ES_tradnl"/>
        </w:rPr>
        <w:t xml:space="preserve">OBJETIVOS DEL DECRETO SUPREMO SOBRE </w:t>
      </w:r>
      <w:r w:rsidR="007E27B4" w:rsidRPr="007E27B4">
        <w:rPr>
          <w:rFonts w:ascii="Verdana" w:hAnsi="Verdana"/>
          <w:b/>
          <w:bCs/>
          <w:lang w:val="es-ES_tradnl"/>
        </w:rPr>
        <w:t>INSTALACIONES SANITARIAS Y ENERGÉTICAS</w:t>
      </w:r>
    </w:p>
    <w:p w:rsidR="000E07AF" w:rsidRPr="00430092" w:rsidRDefault="00430092" w:rsidP="00430092">
      <w:pPr>
        <w:spacing w:before="120" w:after="0"/>
        <w:ind w:left="1080"/>
        <w:jc w:val="both"/>
        <w:rPr>
          <w:rFonts w:ascii="Verdana" w:hAnsi="Verdana"/>
          <w:bCs/>
          <w:lang w:val="es-ES_tradnl"/>
        </w:rPr>
      </w:pPr>
      <w:r w:rsidRPr="00430092">
        <w:rPr>
          <w:rFonts w:ascii="Verdana" w:hAnsi="Verdana"/>
          <w:bCs/>
          <w:lang w:val="es-ES_tradnl"/>
        </w:rPr>
        <w:t>El</w:t>
      </w:r>
      <w:r w:rsidR="000E07AF" w:rsidRPr="00430092">
        <w:rPr>
          <w:rFonts w:ascii="Verdana" w:hAnsi="Verdana"/>
          <w:bCs/>
          <w:lang w:val="es-ES_tradnl"/>
        </w:rPr>
        <w:t xml:space="preserve"> objetivo principal de esta propuesta normativa </w:t>
      </w:r>
      <w:r w:rsidRPr="00430092">
        <w:rPr>
          <w:rFonts w:ascii="Verdana" w:hAnsi="Verdana"/>
          <w:bCs/>
          <w:lang w:val="es-ES_tradnl"/>
        </w:rPr>
        <w:t>es m</w:t>
      </w:r>
      <w:r w:rsidR="00145463" w:rsidRPr="00430092">
        <w:rPr>
          <w:rFonts w:ascii="Verdana" w:hAnsi="Verdana"/>
          <w:bCs/>
          <w:lang w:val="es-ES_tradnl"/>
        </w:rPr>
        <w:t xml:space="preserve">odificar </w:t>
      </w:r>
      <w:r w:rsidRPr="00430092">
        <w:rPr>
          <w:rFonts w:ascii="Verdana" w:hAnsi="Verdana"/>
          <w:bCs/>
          <w:lang w:val="es-ES_tradnl"/>
        </w:rPr>
        <w:t>el artículo 2.1.29 de la OGUC, para que se consideren siempre admitidas las instalaciones destinadas a infraestructura sanitaria o energética que se requieran para el funcionamiento de edificaciones cuyo destino esté admitido en el IPT.</w:t>
      </w:r>
    </w:p>
    <w:p w:rsidR="000E07AF" w:rsidRPr="00153A2B" w:rsidRDefault="000E07AF" w:rsidP="00311C4D">
      <w:pPr>
        <w:spacing w:before="120" w:after="0"/>
        <w:jc w:val="both"/>
        <w:rPr>
          <w:rFonts w:ascii="Verdana" w:hAnsi="Verdana"/>
          <w:bCs/>
          <w:highlight w:val="yellow"/>
          <w:lang w:val="es-ES_tradnl"/>
        </w:rPr>
      </w:pPr>
    </w:p>
    <w:p w:rsidR="000E07AF" w:rsidRPr="00C40F90" w:rsidRDefault="00347D9A" w:rsidP="007E27B4">
      <w:pPr>
        <w:numPr>
          <w:ilvl w:val="0"/>
          <w:numId w:val="2"/>
        </w:numPr>
        <w:spacing w:before="120" w:after="0"/>
        <w:ind w:left="720"/>
        <w:jc w:val="both"/>
        <w:rPr>
          <w:rFonts w:ascii="Verdana" w:hAnsi="Verdana"/>
          <w:b/>
          <w:bCs/>
          <w:lang w:val="es-ES_tradnl"/>
        </w:rPr>
      </w:pPr>
      <w:r w:rsidRPr="00C40F90">
        <w:rPr>
          <w:rFonts w:ascii="Verdana" w:hAnsi="Verdana"/>
          <w:b/>
          <w:bCs/>
          <w:lang w:val="es-ES_tradnl"/>
        </w:rPr>
        <w:t>DESCRIPCIÓN</w:t>
      </w:r>
      <w:r w:rsidR="000E07AF" w:rsidRPr="00C40F90">
        <w:rPr>
          <w:rFonts w:ascii="Verdana" w:hAnsi="Verdana"/>
          <w:b/>
          <w:bCs/>
          <w:lang w:val="es-ES_tradnl"/>
        </w:rPr>
        <w:t xml:space="preserve"> DE LA PROPUESTA</w:t>
      </w:r>
    </w:p>
    <w:p w:rsidR="00430092" w:rsidRPr="00430092" w:rsidRDefault="00430092" w:rsidP="00430092">
      <w:pPr>
        <w:ind w:left="708"/>
        <w:jc w:val="both"/>
        <w:rPr>
          <w:rFonts w:ascii="Verdana" w:hAnsi="Verdana"/>
          <w:bCs/>
          <w:lang w:val="es-ES_tradnl"/>
        </w:rPr>
      </w:pPr>
      <w:r w:rsidRPr="00430092">
        <w:rPr>
          <w:rFonts w:ascii="Verdana" w:hAnsi="Verdana"/>
          <w:bCs/>
          <w:lang w:val="es-ES_tradnl"/>
        </w:rPr>
        <w:t>Se propone modificar el artículo 2.1.29. de la OGUC para que se entiendan siempre admitidas las instalaciones destinadas a infraestructura sanitaria o energética, y las construcciones asociadas a estas, que se requieran para el funcionamiento de edificaciones cuyo destino esté admitido en el Instrumento de Planificación Territorial o que constituyan soluciones domiciliarias para efectos de dar cumplimiento al artículo 134° de la LGUC. Esto, siempre que sirvan únicamente a las edificaciones en cuestión y que se encuentren en el mismo predio que estas.</w:t>
      </w:r>
    </w:p>
    <w:p w:rsidR="00430092" w:rsidRPr="00430092" w:rsidRDefault="00430092" w:rsidP="00430092">
      <w:pPr>
        <w:ind w:left="708"/>
        <w:jc w:val="both"/>
        <w:rPr>
          <w:rFonts w:ascii="Verdana" w:hAnsi="Verdana"/>
          <w:bCs/>
          <w:lang w:val="es-ES_tradnl"/>
        </w:rPr>
      </w:pPr>
      <w:r w:rsidRPr="00430092">
        <w:rPr>
          <w:rFonts w:ascii="Verdana" w:hAnsi="Verdana"/>
          <w:bCs/>
          <w:lang w:val="es-ES_tradnl"/>
        </w:rPr>
        <w:t xml:space="preserve">Por otra parte, se </w:t>
      </w:r>
      <w:r>
        <w:rPr>
          <w:rFonts w:ascii="Verdana" w:hAnsi="Verdana"/>
          <w:bCs/>
          <w:lang w:val="es-ES_tradnl"/>
        </w:rPr>
        <w:t>incluye</w:t>
      </w:r>
      <w:r w:rsidRPr="00430092">
        <w:rPr>
          <w:rFonts w:ascii="Verdana" w:hAnsi="Verdana"/>
          <w:bCs/>
          <w:lang w:val="es-ES_tradnl"/>
        </w:rPr>
        <w:t xml:space="preserve"> una excepción para que la norma tenga coherencia con lo estipulado en el artículo 149 bis del decreto con fuerza </w:t>
      </w:r>
      <w:r w:rsidRPr="00430092">
        <w:rPr>
          <w:rFonts w:ascii="Verdana" w:hAnsi="Verdana"/>
          <w:bCs/>
          <w:lang w:val="es-ES_tradnl"/>
        </w:rPr>
        <w:lastRenderedPageBreak/>
        <w:t>de ley N° 4, del Ministerio de Economía, Fomento y Reconstrucción, de 2006, que permite a los usuarios finales sujetos a fi</w:t>
      </w:r>
      <w:r w:rsidR="003E3BC3">
        <w:rPr>
          <w:rFonts w:ascii="Verdana" w:hAnsi="Verdana"/>
          <w:bCs/>
          <w:lang w:val="es-ES_tradnl"/>
        </w:rPr>
        <w:t>jación de precios, que disponen,</w:t>
      </w:r>
      <w:r w:rsidRPr="00430092">
        <w:rPr>
          <w:rFonts w:ascii="Verdana" w:hAnsi="Verdana"/>
          <w:bCs/>
          <w:lang w:val="es-ES_tradnl"/>
        </w:rPr>
        <w:t xml:space="preserve"> para su propio consumo</w:t>
      </w:r>
      <w:r w:rsidR="003E3BC3">
        <w:rPr>
          <w:rFonts w:ascii="Verdana" w:hAnsi="Verdana"/>
          <w:bCs/>
          <w:lang w:val="es-ES_tradnl"/>
        </w:rPr>
        <w:t>,</w:t>
      </w:r>
      <w:r w:rsidRPr="00430092">
        <w:rPr>
          <w:rFonts w:ascii="Verdana" w:hAnsi="Verdana"/>
          <w:bCs/>
          <w:lang w:val="es-ES_tradnl"/>
        </w:rPr>
        <w:t xml:space="preserve"> de equipamiento de generación de energía eléctrica por medios renovables no convencionales o de instalaciones de cogeneración eficiente, a inyectar la energía generada por estos medios a la red de distribución. Es decir, en este caso particular, las instalaciones podrían no servir únicamente a la edificación cuyo destino esté admitido por el instrumento de planificación territorial correspondiente.</w:t>
      </w:r>
    </w:p>
    <w:p w:rsidR="0048223B" w:rsidRPr="00153A2B" w:rsidRDefault="0048223B" w:rsidP="00311C4D">
      <w:pPr>
        <w:spacing w:before="120" w:after="0"/>
        <w:jc w:val="both"/>
        <w:rPr>
          <w:rFonts w:ascii="Verdana" w:hAnsi="Verdana"/>
          <w:bCs/>
          <w:highlight w:val="yellow"/>
          <w:lang w:val="es-ES_tradnl"/>
        </w:rPr>
      </w:pPr>
    </w:p>
    <w:p w:rsidR="000E07AF" w:rsidRPr="00430092" w:rsidRDefault="000E07AF" w:rsidP="007E27B4">
      <w:pPr>
        <w:numPr>
          <w:ilvl w:val="0"/>
          <w:numId w:val="2"/>
        </w:numPr>
        <w:spacing w:before="120" w:after="0"/>
        <w:ind w:left="720"/>
        <w:jc w:val="both"/>
        <w:rPr>
          <w:rFonts w:ascii="Verdana" w:hAnsi="Verdana"/>
          <w:b/>
          <w:bCs/>
          <w:lang w:val="es-ES_tradnl"/>
        </w:rPr>
      </w:pPr>
      <w:r w:rsidRPr="00430092">
        <w:rPr>
          <w:rFonts w:ascii="Verdana" w:hAnsi="Verdana"/>
          <w:b/>
          <w:bCs/>
          <w:lang w:val="es-ES_tradnl"/>
        </w:rPr>
        <w:t>EFECTOS ESPERADOS</w:t>
      </w:r>
    </w:p>
    <w:p w:rsidR="000E07AF" w:rsidRPr="00430092" w:rsidRDefault="00430092" w:rsidP="00430092">
      <w:pPr>
        <w:spacing w:before="120" w:after="0"/>
        <w:ind w:left="708"/>
        <w:jc w:val="both"/>
        <w:rPr>
          <w:rFonts w:ascii="Verdana" w:hAnsi="Verdana"/>
          <w:bCs/>
          <w:lang w:val="es-ES_tradnl"/>
        </w:rPr>
      </w:pPr>
      <w:r w:rsidRPr="00430092">
        <w:rPr>
          <w:rFonts w:ascii="Verdana" w:hAnsi="Verdana"/>
          <w:bCs/>
          <w:lang w:val="es-ES_tradnl"/>
        </w:rPr>
        <w:t xml:space="preserve">Perfeccionar la normativa para que las instalaciones sanitarias y energéticas que se requieren para el funcionamiento de edificaciones cuyo destino esté permitido por el IPT correspondiente se consideren admitidas, siempre que cumplan con las condiciones descritas en el punto precedente. </w:t>
      </w:r>
    </w:p>
    <w:sectPr w:rsidR="000E07AF" w:rsidRPr="00430092" w:rsidSect="001D305A">
      <w:headerReference w:type="default" r:id="rId9"/>
      <w:footerReference w:type="default" r:id="rId10"/>
      <w:pgSz w:w="12240" w:h="15840" w:code="1"/>
      <w:pgMar w:top="63" w:right="1701" w:bottom="851" w:left="1701" w:header="708"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AD1" w:rsidRDefault="00C62AD1" w:rsidP="000E07AF">
      <w:pPr>
        <w:spacing w:after="0" w:line="240" w:lineRule="auto"/>
      </w:pPr>
      <w:r>
        <w:separator/>
      </w:r>
    </w:p>
  </w:endnote>
  <w:endnote w:type="continuationSeparator" w:id="0">
    <w:p w:rsidR="00C62AD1" w:rsidRDefault="00C62AD1" w:rsidP="000E0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0767159"/>
      <w:docPartObj>
        <w:docPartGallery w:val="Page Numbers (Bottom of Page)"/>
        <w:docPartUnique/>
      </w:docPartObj>
    </w:sdtPr>
    <w:sdtEndPr>
      <w:rPr>
        <w:rFonts w:ascii="Verdana" w:hAnsi="Verdana"/>
      </w:rPr>
    </w:sdtEndPr>
    <w:sdtContent>
      <w:p w:rsidR="00905914" w:rsidRPr="00905914" w:rsidRDefault="00905914">
        <w:pPr>
          <w:pStyle w:val="Piedepgina"/>
          <w:jc w:val="right"/>
          <w:rPr>
            <w:rFonts w:ascii="Verdana" w:hAnsi="Verdana"/>
          </w:rPr>
        </w:pPr>
        <w:r w:rsidRPr="00905914">
          <w:rPr>
            <w:rFonts w:ascii="Verdana" w:hAnsi="Verdana"/>
          </w:rPr>
          <w:fldChar w:fldCharType="begin"/>
        </w:r>
        <w:r w:rsidRPr="00905914">
          <w:rPr>
            <w:rFonts w:ascii="Verdana" w:hAnsi="Verdana"/>
          </w:rPr>
          <w:instrText>PAGE   \* MERGEFORMAT</w:instrText>
        </w:r>
        <w:r w:rsidRPr="00905914">
          <w:rPr>
            <w:rFonts w:ascii="Verdana" w:hAnsi="Verdana"/>
          </w:rPr>
          <w:fldChar w:fldCharType="separate"/>
        </w:r>
        <w:r w:rsidR="00760984">
          <w:rPr>
            <w:rFonts w:ascii="Verdana" w:hAnsi="Verdana"/>
            <w:noProof/>
          </w:rPr>
          <w:t>2</w:t>
        </w:r>
        <w:r w:rsidRPr="00905914">
          <w:rPr>
            <w:rFonts w:ascii="Verdana" w:hAnsi="Verdana"/>
          </w:rPr>
          <w:fldChar w:fldCharType="end"/>
        </w:r>
      </w:p>
    </w:sdtContent>
  </w:sdt>
  <w:p w:rsidR="00EA739B" w:rsidRDefault="00EA739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AD1" w:rsidRDefault="00C62AD1" w:rsidP="000E07AF">
      <w:pPr>
        <w:spacing w:after="0" w:line="240" w:lineRule="auto"/>
      </w:pPr>
      <w:r>
        <w:separator/>
      </w:r>
    </w:p>
  </w:footnote>
  <w:footnote w:type="continuationSeparator" w:id="0">
    <w:p w:rsidR="00C62AD1" w:rsidRDefault="00C62AD1" w:rsidP="000E07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775" w:rsidRPr="009565B8" w:rsidRDefault="00C62AD1" w:rsidP="009565B8">
    <w:pPr>
      <w:spacing w:after="0"/>
      <w:jc w:val="right"/>
      <w:rPr>
        <w:rStyle w:val="nfasis"/>
        <w:rFonts w:ascii="Arial" w:hAnsi="Arial" w:cs="Arial"/>
        <w:i w:val="0"/>
        <w:sz w:val="16"/>
        <w:szCs w:val="16"/>
      </w:rPr>
    </w:pPr>
    <w:r>
      <w:rPr>
        <w:noProof/>
        <w:lang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54260" o:spid="_x0000_s2050" type="#_x0000_t136" style="position:absolute;left:0;text-align:left;margin-left:0;margin-top:0;width:519.15pt;height:103.8pt;rotation:315;z-index:-251658240;mso-position-horizontal:center;mso-position-horizontal-relative:margin;mso-position-vertical:center;mso-position-vertical-relative:margin" o:allowincell="f" fillcolor="#a5a5a5" stroked="f">
          <v:fill opacity=".5"/>
          <v:textpath style="font-family:&quot;calibri&quot;;font-size:1pt" string="CONSULTA PUBLICA"/>
          <w10:wrap anchorx="margin" anchory="margin"/>
        </v:shape>
      </w:pict>
    </w:r>
    <w:r w:rsidR="000E07AF">
      <w:rPr>
        <w:noProof/>
        <w:lang w:val="es-CL" w:eastAsia="es-CL"/>
      </w:rPr>
      <w:drawing>
        <wp:anchor distT="0" distB="0" distL="114300" distR="114300" simplePos="0" relativeHeight="251657216" behindDoc="0" locked="0" layoutInCell="1" allowOverlap="1" wp14:anchorId="53FF6FC2" wp14:editId="096F37FA">
          <wp:simplePos x="0" y="0"/>
          <wp:positionH relativeFrom="column">
            <wp:posOffset>-3810</wp:posOffset>
          </wp:positionH>
          <wp:positionV relativeFrom="paragraph">
            <wp:posOffset>0</wp:posOffset>
          </wp:positionV>
          <wp:extent cx="923925" cy="923925"/>
          <wp:effectExtent l="0" t="0" r="9525" b="9525"/>
          <wp:wrapNone/>
          <wp:docPr id="1" name="Imagen 1" descr="vivienda-y-urban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vivienda-y-urbanis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45400">
      <w:rPr>
        <w:noProof/>
        <w:lang w:eastAsia="es-ES"/>
      </w:rPr>
      <w:t xml:space="preserve"> </w:t>
    </w:r>
    <w:r w:rsidR="00445400">
      <w:rPr>
        <w:noProof/>
        <w:lang w:eastAsia="es-ES"/>
      </w:rPr>
      <w:tab/>
    </w:r>
    <w:r w:rsidR="00445400" w:rsidRPr="009565B8">
      <w:rPr>
        <w:rStyle w:val="nfasis"/>
        <w:rFonts w:ascii="Arial" w:hAnsi="Arial" w:cs="Arial"/>
        <w:i w:val="0"/>
        <w:sz w:val="16"/>
        <w:szCs w:val="16"/>
      </w:rPr>
      <w:t>Ministerio de Vivienda y Urbanismo</w:t>
    </w:r>
  </w:p>
  <w:p w:rsidR="00C50775" w:rsidRPr="009565B8" w:rsidRDefault="00445400" w:rsidP="009565B8">
    <w:pPr>
      <w:spacing w:after="0"/>
      <w:jc w:val="right"/>
      <w:rPr>
        <w:rStyle w:val="nfasis"/>
        <w:rFonts w:ascii="Arial" w:hAnsi="Arial" w:cs="Arial"/>
        <w:i w:val="0"/>
        <w:sz w:val="16"/>
        <w:szCs w:val="16"/>
      </w:rPr>
    </w:pPr>
    <w:r w:rsidRPr="009565B8">
      <w:rPr>
        <w:rStyle w:val="nfasis"/>
        <w:rFonts w:ascii="Arial" w:hAnsi="Arial" w:cs="Arial"/>
        <w:i w:val="0"/>
        <w:sz w:val="16"/>
        <w:szCs w:val="16"/>
      </w:rPr>
      <w:t>División de Desarrollo Urbano</w:t>
    </w:r>
  </w:p>
  <w:p w:rsidR="00C50775" w:rsidRPr="009565B8" w:rsidRDefault="00760984" w:rsidP="009565B8">
    <w:pPr>
      <w:spacing w:after="0"/>
      <w:jc w:val="right"/>
      <w:rPr>
        <w:rStyle w:val="nfasis"/>
        <w:rFonts w:ascii="Arial" w:hAnsi="Arial" w:cs="Arial"/>
        <w:i w:val="0"/>
        <w:sz w:val="16"/>
        <w:szCs w:val="16"/>
      </w:rPr>
    </w:pPr>
    <w:r>
      <w:rPr>
        <w:rStyle w:val="nfasis"/>
        <w:rFonts w:ascii="Arial" w:hAnsi="Arial" w:cs="Arial"/>
        <w:i w:val="0"/>
        <w:sz w:val="16"/>
        <w:szCs w:val="16"/>
      </w:rPr>
      <w:t xml:space="preserve">Febrero </w:t>
    </w:r>
    <w:r w:rsidR="00297096">
      <w:rPr>
        <w:rStyle w:val="nfasis"/>
        <w:rFonts w:ascii="Arial" w:hAnsi="Arial" w:cs="Arial"/>
        <w:i w:val="0"/>
        <w:sz w:val="16"/>
        <w:szCs w:val="16"/>
      </w:rPr>
      <w:t xml:space="preserve"> 2017</w:t>
    </w:r>
  </w:p>
  <w:p w:rsidR="0003577D" w:rsidRDefault="00C62AD1">
    <w:pPr>
      <w:pStyle w:val="Encabezado"/>
    </w:pPr>
  </w:p>
  <w:p w:rsidR="0003577D" w:rsidRDefault="00C62AD1">
    <w:pPr>
      <w:pStyle w:val="Encabezado"/>
    </w:pPr>
  </w:p>
  <w:p w:rsidR="0003577D" w:rsidRDefault="00C62AD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25AF8"/>
    <w:multiLevelType w:val="hybridMultilevel"/>
    <w:tmpl w:val="C3ECB06A"/>
    <w:lvl w:ilvl="0" w:tplc="7B32B43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7955DDD"/>
    <w:multiLevelType w:val="hybridMultilevel"/>
    <w:tmpl w:val="4CD60562"/>
    <w:lvl w:ilvl="0" w:tplc="FAB45E04">
      <w:start w:val="1"/>
      <w:numFmt w:val="decimal"/>
      <w:lvlText w:val="%1."/>
      <w:lvlJc w:val="left"/>
      <w:pPr>
        <w:ind w:left="3195" w:hanging="360"/>
      </w:pPr>
      <w:rPr>
        <w:rFonts w:hint="default"/>
      </w:rPr>
    </w:lvl>
    <w:lvl w:ilvl="1" w:tplc="0C0A0019">
      <w:start w:val="1"/>
      <w:numFmt w:val="lowerLetter"/>
      <w:lvlText w:val="%2."/>
      <w:lvlJc w:val="left"/>
      <w:pPr>
        <w:ind w:left="3915" w:hanging="360"/>
      </w:pPr>
    </w:lvl>
    <w:lvl w:ilvl="2" w:tplc="0C0A001B" w:tentative="1">
      <w:start w:val="1"/>
      <w:numFmt w:val="lowerRoman"/>
      <w:lvlText w:val="%3."/>
      <w:lvlJc w:val="right"/>
      <w:pPr>
        <w:ind w:left="4635" w:hanging="180"/>
      </w:pPr>
    </w:lvl>
    <w:lvl w:ilvl="3" w:tplc="0C0A000F" w:tentative="1">
      <w:start w:val="1"/>
      <w:numFmt w:val="decimal"/>
      <w:lvlText w:val="%4."/>
      <w:lvlJc w:val="left"/>
      <w:pPr>
        <w:ind w:left="5355" w:hanging="360"/>
      </w:pPr>
    </w:lvl>
    <w:lvl w:ilvl="4" w:tplc="0C0A0019" w:tentative="1">
      <w:start w:val="1"/>
      <w:numFmt w:val="lowerLetter"/>
      <w:lvlText w:val="%5."/>
      <w:lvlJc w:val="left"/>
      <w:pPr>
        <w:ind w:left="6075" w:hanging="360"/>
      </w:pPr>
    </w:lvl>
    <w:lvl w:ilvl="5" w:tplc="0C0A001B" w:tentative="1">
      <w:start w:val="1"/>
      <w:numFmt w:val="lowerRoman"/>
      <w:lvlText w:val="%6."/>
      <w:lvlJc w:val="right"/>
      <w:pPr>
        <w:ind w:left="6795" w:hanging="180"/>
      </w:pPr>
    </w:lvl>
    <w:lvl w:ilvl="6" w:tplc="0C0A000F" w:tentative="1">
      <w:start w:val="1"/>
      <w:numFmt w:val="decimal"/>
      <w:lvlText w:val="%7."/>
      <w:lvlJc w:val="left"/>
      <w:pPr>
        <w:ind w:left="7515" w:hanging="360"/>
      </w:pPr>
    </w:lvl>
    <w:lvl w:ilvl="7" w:tplc="0C0A0019" w:tentative="1">
      <w:start w:val="1"/>
      <w:numFmt w:val="lowerLetter"/>
      <w:lvlText w:val="%8."/>
      <w:lvlJc w:val="left"/>
      <w:pPr>
        <w:ind w:left="8235" w:hanging="360"/>
      </w:pPr>
    </w:lvl>
    <w:lvl w:ilvl="8" w:tplc="0C0A001B" w:tentative="1">
      <w:start w:val="1"/>
      <w:numFmt w:val="lowerRoman"/>
      <w:lvlText w:val="%9."/>
      <w:lvlJc w:val="right"/>
      <w:pPr>
        <w:ind w:left="8955" w:hanging="180"/>
      </w:pPr>
    </w:lvl>
  </w:abstractNum>
  <w:abstractNum w:abstractNumId="2">
    <w:nsid w:val="20AD3F9F"/>
    <w:multiLevelType w:val="multilevel"/>
    <w:tmpl w:val="CCCAEE58"/>
    <w:lvl w:ilvl="0">
      <w:start w:val="1"/>
      <w:numFmt w:val="decimal"/>
      <w:lvlText w:val="%1."/>
      <w:lvlJc w:val="left"/>
      <w:pPr>
        <w:ind w:left="360" w:hanging="360"/>
      </w:pPr>
    </w:lvl>
    <w:lvl w:ilvl="1">
      <w:start w:val="1"/>
      <w:numFmt w:val="lowerLetter"/>
      <w:lvlText w:val="%2)"/>
      <w:lvlJc w:val="left"/>
      <w:pPr>
        <w:ind w:left="792" w:hanging="432"/>
      </w:pPr>
      <w:rPr>
        <w:rFonts w:ascii="Verdana" w:hAnsi="Verdana" w:hint="default"/>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0DE2473"/>
    <w:multiLevelType w:val="hybridMultilevel"/>
    <w:tmpl w:val="F39C67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1C77A47"/>
    <w:multiLevelType w:val="hybridMultilevel"/>
    <w:tmpl w:val="F39C67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7DB54D1"/>
    <w:multiLevelType w:val="hybridMultilevel"/>
    <w:tmpl w:val="1576BAA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54F91DD0"/>
    <w:multiLevelType w:val="hybridMultilevel"/>
    <w:tmpl w:val="FDCE8700"/>
    <w:lvl w:ilvl="0" w:tplc="340A0001">
      <w:start w:val="1"/>
      <w:numFmt w:val="bullet"/>
      <w:lvlText w:val=""/>
      <w:lvlJc w:val="left"/>
      <w:pPr>
        <w:ind w:left="656" w:hanging="360"/>
      </w:pPr>
      <w:rPr>
        <w:rFonts w:ascii="Symbol" w:hAnsi="Symbol" w:hint="default"/>
      </w:rPr>
    </w:lvl>
    <w:lvl w:ilvl="1" w:tplc="340A0003" w:tentative="1">
      <w:start w:val="1"/>
      <w:numFmt w:val="bullet"/>
      <w:lvlText w:val="o"/>
      <w:lvlJc w:val="left"/>
      <w:pPr>
        <w:ind w:left="1376" w:hanging="360"/>
      </w:pPr>
      <w:rPr>
        <w:rFonts w:ascii="Courier New" w:hAnsi="Courier New" w:cs="Courier New" w:hint="default"/>
      </w:rPr>
    </w:lvl>
    <w:lvl w:ilvl="2" w:tplc="340A0005" w:tentative="1">
      <w:start w:val="1"/>
      <w:numFmt w:val="bullet"/>
      <w:lvlText w:val=""/>
      <w:lvlJc w:val="left"/>
      <w:pPr>
        <w:ind w:left="2096" w:hanging="360"/>
      </w:pPr>
      <w:rPr>
        <w:rFonts w:ascii="Wingdings" w:hAnsi="Wingdings" w:hint="default"/>
      </w:rPr>
    </w:lvl>
    <w:lvl w:ilvl="3" w:tplc="340A0001" w:tentative="1">
      <w:start w:val="1"/>
      <w:numFmt w:val="bullet"/>
      <w:lvlText w:val=""/>
      <w:lvlJc w:val="left"/>
      <w:pPr>
        <w:ind w:left="2816" w:hanging="360"/>
      </w:pPr>
      <w:rPr>
        <w:rFonts w:ascii="Symbol" w:hAnsi="Symbol" w:hint="default"/>
      </w:rPr>
    </w:lvl>
    <w:lvl w:ilvl="4" w:tplc="340A0003" w:tentative="1">
      <w:start w:val="1"/>
      <w:numFmt w:val="bullet"/>
      <w:lvlText w:val="o"/>
      <w:lvlJc w:val="left"/>
      <w:pPr>
        <w:ind w:left="3536" w:hanging="360"/>
      </w:pPr>
      <w:rPr>
        <w:rFonts w:ascii="Courier New" w:hAnsi="Courier New" w:cs="Courier New" w:hint="default"/>
      </w:rPr>
    </w:lvl>
    <w:lvl w:ilvl="5" w:tplc="340A0005" w:tentative="1">
      <w:start w:val="1"/>
      <w:numFmt w:val="bullet"/>
      <w:lvlText w:val=""/>
      <w:lvlJc w:val="left"/>
      <w:pPr>
        <w:ind w:left="4256" w:hanging="360"/>
      </w:pPr>
      <w:rPr>
        <w:rFonts w:ascii="Wingdings" w:hAnsi="Wingdings" w:hint="default"/>
      </w:rPr>
    </w:lvl>
    <w:lvl w:ilvl="6" w:tplc="340A0001" w:tentative="1">
      <w:start w:val="1"/>
      <w:numFmt w:val="bullet"/>
      <w:lvlText w:val=""/>
      <w:lvlJc w:val="left"/>
      <w:pPr>
        <w:ind w:left="4976" w:hanging="360"/>
      </w:pPr>
      <w:rPr>
        <w:rFonts w:ascii="Symbol" w:hAnsi="Symbol" w:hint="default"/>
      </w:rPr>
    </w:lvl>
    <w:lvl w:ilvl="7" w:tplc="340A0003" w:tentative="1">
      <w:start w:val="1"/>
      <w:numFmt w:val="bullet"/>
      <w:lvlText w:val="o"/>
      <w:lvlJc w:val="left"/>
      <w:pPr>
        <w:ind w:left="5696" w:hanging="360"/>
      </w:pPr>
      <w:rPr>
        <w:rFonts w:ascii="Courier New" w:hAnsi="Courier New" w:cs="Courier New" w:hint="default"/>
      </w:rPr>
    </w:lvl>
    <w:lvl w:ilvl="8" w:tplc="340A0005" w:tentative="1">
      <w:start w:val="1"/>
      <w:numFmt w:val="bullet"/>
      <w:lvlText w:val=""/>
      <w:lvlJc w:val="left"/>
      <w:pPr>
        <w:ind w:left="6416" w:hanging="360"/>
      </w:pPr>
      <w:rPr>
        <w:rFonts w:ascii="Wingdings" w:hAnsi="Wingdings" w:hint="default"/>
      </w:rPr>
    </w:lvl>
  </w:abstractNum>
  <w:abstractNum w:abstractNumId="7">
    <w:nsid w:val="71C148CD"/>
    <w:multiLevelType w:val="hybridMultilevel"/>
    <w:tmpl w:val="98C8C450"/>
    <w:lvl w:ilvl="0" w:tplc="FD1A872A">
      <w:numFmt w:val="bullet"/>
      <w:lvlText w:val="-"/>
      <w:lvlJc w:val="left"/>
      <w:pPr>
        <w:ind w:left="1996" w:hanging="360"/>
      </w:pPr>
      <w:rPr>
        <w:rFonts w:ascii="Verdana" w:hAnsi="Verdana" w:cs="Arial" w:hint="default"/>
        <w:b w:val="0"/>
        <w:i w:val="0"/>
        <w:sz w:val="22"/>
      </w:rPr>
    </w:lvl>
    <w:lvl w:ilvl="1" w:tplc="340A0003" w:tentative="1">
      <w:start w:val="1"/>
      <w:numFmt w:val="bullet"/>
      <w:lvlText w:val="o"/>
      <w:lvlJc w:val="left"/>
      <w:pPr>
        <w:ind w:left="2716" w:hanging="360"/>
      </w:pPr>
      <w:rPr>
        <w:rFonts w:ascii="Courier New" w:hAnsi="Courier New" w:cs="Courier New" w:hint="default"/>
      </w:rPr>
    </w:lvl>
    <w:lvl w:ilvl="2" w:tplc="340A0005" w:tentative="1">
      <w:start w:val="1"/>
      <w:numFmt w:val="bullet"/>
      <w:lvlText w:val=""/>
      <w:lvlJc w:val="left"/>
      <w:pPr>
        <w:ind w:left="3436" w:hanging="360"/>
      </w:pPr>
      <w:rPr>
        <w:rFonts w:ascii="Wingdings" w:hAnsi="Wingdings" w:hint="default"/>
      </w:rPr>
    </w:lvl>
    <w:lvl w:ilvl="3" w:tplc="340A0001" w:tentative="1">
      <w:start w:val="1"/>
      <w:numFmt w:val="bullet"/>
      <w:lvlText w:val=""/>
      <w:lvlJc w:val="left"/>
      <w:pPr>
        <w:ind w:left="4156" w:hanging="360"/>
      </w:pPr>
      <w:rPr>
        <w:rFonts w:ascii="Symbol" w:hAnsi="Symbol" w:hint="default"/>
      </w:rPr>
    </w:lvl>
    <w:lvl w:ilvl="4" w:tplc="340A0003" w:tentative="1">
      <w:start w:val="1"/>
      <w:numFmt w:val="bullet"/>
      <w:lvlText w:val="o"/>
      <w:lvlJc w:val="left"/>
      <w:pPr>
        <w:ind w:left="4876" w:hanging="360"/>
      </w:pPr>
      <w:rPr>
        <w:rFonts w:ascii="Courier New" w:hAnsi="Courier New" w:cs="Courier New" w:hint="default"/>
      </w:rPr>
    </w:lvl>
    <w:lvl w:ilvl="5" w:tplc="340A0005" w:tentative="1">
      <w:start w:val="1"/>
      <w:numFmt w:val="bullet"/>
      <w:lvlText w:val=""/>
      <w:lvlJc w:val="left"/>
      <w:pPr>
        <w:ind w:left="5596" w:hanging="360"/>
      </w:pPr>
      <w:rPr>
        <w:rFonts w:ascii="Wingdings" w:hAnsi="Wingdings" w:hint="default"/>
      </w:rPr>
    </w:lvl>
    <w:lvl w:ilvl="6" w:tplc="340A0001" w:tentative="1">
      <w:start w:val="1"/>
      <w:numFmt w:val="bullet"/>
      <w:lvlText w:val=""/>
      <w:lvlJc w:val="left"/>
      <w:pPr>
        <w:ind w:left="6316" w:hanging="360"/>
      </w:pPr>
      <w:rPr>
        <w:rFonts w:ascii="Symbol" w:hAnsi="Symbol" w:hint="default"/>
      </w:rPr>
    </w:lvl>
    <w:lvl w:ilvl="7" w:tplc="340A0003" w:tentative="1">
      <w:start w:val="1"/>
      <w:numFmt w:val="bullet"/>
      <w:lvlText w:val="o"/>
      <w:lvlJc w:val="left"/>
      <w:pPr>
        <w:ind w:left="7036" w:hanging="360"/>
      </w:pPr>
      <w:rPr>
        <w:rFonts w:ascii="Courier New" w:hAnsi="Courier New" w:cs="Courier New" w:hint="default"/>
      </w:rPr>
    </w:lvl>
    <w:lvl w:ilvl="8" w:tplc="340A0005" w:tentative="1">
      <w:start w:val="1"/>
      <w:numFmt w:val="bullet"/>
      <w:lvlText w:val=""/>
      <w:lvlJc w:val="left"/>
      <w:pPr>
        <w:ind w:left="7756" w:hanging="360"/>
      </w:pPr>
      <w:rPr>
        <w:rFonts w:ascii="Wingdings" w:hAnsi="Wingdings" w:hint="default"/>
      </w:rPr>
    </w:lvl>
  </w:abstractNum>
  <w:abstractNum w:abstractNumId="8">
    <w:nsid w:val="795E5A1C"/>
    <w:multiLevelType w:val="hybridMultilevel"/>
    <w:tmpl w:val="20F8103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3"/>
  </w:num>
  <w:num w:numId="5">
    <w:abstractNumId w:val="8"/>
  </w:num>
  <w:num w:numId="6">
    <w:abstractNumId w:val="5"/>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7AF"/>
    <w:rsid w:val="000715FB"/>
    <w:rsid w:val="0009250C"/>
    <w:rsid w:val="000B6B19"/>
    <w:rsid w:val="000E003E"/>
    <w:rsid w:val="000E07AF"/>
    <w:rsid w:val="00106747"/>
    <w:rsid w:val="00114F63"/>
    <w:rsid w:val="00123CC5"/>
    <w:rsid w:val="001372DE"/>
    <w:rsid w:val="00145463"/>
    <w:rsid w:val="00153A2B"/>
    <w:rsid w:val="00181719"/>
    <w:rsid w:val="00182B0A"/>
    <w:rsid w:val="001C00DF"/>
    <w:rsid w:val="001C0241"/>
    <w:rsid w:val="001D5DC5"/>
    <w:rsid w:val="001E18DC"/>
    <w:rsid w:val="0021299A"/>
    <w:rsid w:val="00224476"/>
    <w:rsid w:val="00257095"/>
    <w:rsid w:val="00282714"/>
    <w:rsid w:val="00287493"/>
    <w:rsid w:val="002926B5"/>
    <w:rsid w:val="00297096"/>
    <w:rsid w:val="002B0FE1"/>
    <w:rsid w:val="002B3418"/>
    <w:rsid w:val="002F5886"/>
    <w:rsid w:val="002F5A5A"/>
    <w:rsid w:val="00311C4D"/>
    <w:rsid w:val="003254B6"/>
    <w:rsid w:val="00347D9A"/>
    <w:rsid w:val="003A0FF2"/>
    <w:rsid w:val="003E3BC3"/>
    <w:rsid w:val="003F6B45"/>
    <w:rsid w:val="00403CEE"/>
    <w:rsid w:val="00430092"/>
    <w:rsid w:val="004372CC"/>
    <w:rsid w:val="00445400"/>
    <w:rsid w:val="00446706"/>
    <w:rsid w:val="004509E6"/>
    <w:rsid w:val="004523E7"/>
    <w:rsid w:val="0048223B"/>
    <w:rsid w:val="00496B65"/>
    <w:rsid w:val="004970A7"/>
    <w:rsid w:val="004E47C2"/>
    <w:rsid w:val="004E4D98"/>
    <w:rsid w:val="00522CCF"/>
    <w:rsid w:val="00554B11"/>
    <w:rsid w:val="00570389"/>
    <w:rsid w:val="00572789"/>
    <w:rsid w:val="0058378B"/>
    <w:rsid w:val="005B01AD"/>
    <w:rsid w:val="005B3647"/>
    <w:rsid w:val="005B5E44"/>
    <w:rsid w:val="005C71CC"/>
    <w:rsid w:val="005C7846"/>
    <w:rsid w:val="005C7D6C"/>
    <w:rsid w:val="005E1E2E"/>
    <w:rsid w:val="005F4709"/>
    <w:rsid w:val="00611315"/>
    <w:rsid w:val="00620A24"/>
    <w:rsid w:val="00621D70"/>
    <w:rsid w:val="00645B36"/>
    <w:rsid w:val="00663B2C"/>
    <w:rsid w:val="00667E14"/>
    <w:rsid w:val="00682C20"/>
    <w:rsid w:val="006A7DBA"/>
    <w:rsid w:val="006E0282"/>
    <w:rsid w:val="006F621D"/>
    <w:rsid w:val="006F6F3C"/>
    <w:rsid w:val="00707833"/>
    <w:rsid w:val="007306F5"/>
    <w:rsid w:val="0075021B"/>
    <w:rsid w:val="00760984"/>
    <w:rsid w:val="00766458"/>
    <w:rsid w:val="0077343E"/>
    <w:rsid w:val="00776779"/>
    <w:rsid w:val="007A4A08"/>
    <w:rsid w:val="007C1AAA"/>
    <w:rsid w:val="007D69F7"/>
    <w:rsid w:val="007E27B4"/>
    <w:rsid w:val="007F694C"/>
    <w:rsid w:val="00812F2E"/>
    <w:rsid w:val="00851EFC"/>
    <w:rsid w:val="0085625E"/>
    <w:rsid w:val="00861A83"/>
    <w:rsid w:val="008866EC"/>
    <w:rsid w:val="0089068E"/>
    <w:rsid w:val="008A58BF"/>
    <w:rsid w:val="008B5624"/>
    <w:rsid w:val="008C266F"/>
    <w:rsid w:val="008D145C"/>
    <w:rsid w:val="008D2119"/>
    <w:rsid w:val="008E389E"/>
    <w:rsid w:val="00905914"/>
    <w:rsid w:val="00907B1F"/>
    <w:rsid w:val="00912337"/>
    <w:rsid w:val="00927C07"/>
    <w:rsid w:val="00937430"/>
    <w:rsid w:val="009478A7"/>
    <w:rsid w:val="0095089E"/>
    <w:rsid w:val="00975154"/>
    <w:rsid w:val="009A16F9"/>
    <w:rsid w:val="009D0711"/>
    <w:rsid w:val="00A10A97"/>
    <w:rsid w:val="00A15B88"/>
    <w:rsid w:val="00A56FD6"/>
    <w:rsid w:val="00A80C58"/>
    <w:rsid w:val="00A8203B"/>
    <w:rsid w:val="00AC7346"/>
    <w:rsid w:val="00AE47B5"/>
    <w:rsid w:val="00AF27AC"/>
    <w:rsid w:val="00B14322"/>
    <w:rsid w:val="00B3351B"/>
    <w:rsid w:val="00B352F2"/>
    <w:rsid w:val="00B4629F"/>
    <w:rsid w:val="00B6227B"/>
    <w:rsid w:val="00B7443A"/>
    <w:rsid w:val="00B86B42"/>
    <w:rsid w:val="00BF37B9"/>
    <w:rsid w:val="00BF6E0B"/>
    <w:rsid w:val="00C20609"/>
    <w:rsid w:val="00C40F90"/>
    <w:rsid w:val="00C437F5"/>
    <w:rsid w:val="00C62AD1"/>
    <w:rsid w:val="00C70583"/>
    <w:rsid w:val="00C717E6"/>
    <w:rsid w:val="00C945F2"/>
    <w:rsid w:val="00CC25B0"/>
    <w:rsid w:val="00CC4B60"/>
    <w:rsid w:val="00CD70E9"/>
    <w:rsid w:val="00CE482E"/>
    <w:rsid w:val="00D11E16"/>
    <w:rsid w:val="00D15858"/>
    <w:rsid w:val="00D51043"/>
    <w:rsid w:val="00D65E39"/>
    <w:rsid w:val="00D72EBB"/>
    <w:rsid w:val="00D93E0A"/>
    <w:rsid w:val="00DC6188"/>
    <w:rsid w:val="00DD45F4"/>
    <w:rsid w:val="00E06BFB"/>
    <w:rsid w:val="00E24552"/>
    <w:rsid w:val="00E4274C"/>
    <w:rsid w:val="00E44019"/>
    <w:rsid w:val="00E46058"/>
    <w:rsid w:val="00E710A4"/>
    <w:rsid w:val="00E802F7"/>
    <w:rsid w:val="00EA739B"/>
    <w:rsid w:val="00ED1FC9"/>
    <w:rsid w:val="00F14657"/>
    <w:rsid w:val="00F37C4C"/>
    <w:rsid w:val="00F42595"/>
    <w:rsid w:val="00F43CA4"/>
    <w:rsid w:val="00F96A88"/>
    <w:rsid w:val="00FA7C2D"/>
    <w:rsid w:val="00FB4CA3"/>
    <w:rsid w:val="00FD0F47"/>
    <w:rsid w:val="00FD4184"/>
    <w:rsid w:val="00FF3A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07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07AF"/>
  </w:style>
  <w:style w:type="paragraph" w:styleId="Piedepgina">
    <w:name w:val="footer"/>
    <w:basedOn w:val="Normal"/>
    <w:link w:val="PiedepginaCar"/>
    <w:uiPriority w:val="99"/>
    <w:unhideWhenUsed/>
    <w:rsid w:val="000E07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07AF"/>
  </w:style>
  <w:style w:type="character" w:styleId="nfasis">
    <w:name w:val="Emphasis"/>
    <w:qFormat/>
    <w:rsid w:val="000E07AF"/>
    <w:rPr>
      <w:i/>
      <w:iCs/>
    </w:rPr>
  </w:style>
  <w:style w:type="paragraph" w:styleId="Prrafodelista">
    <w:name w:val="List Paragraph"/>
    <w:basedOn w:val="Normal"/>
    <w:uiPriority w:val="34"/>
    <w:qFormat/>
    <w:rsid w:val="00D93E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07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07AF"/>
  </w:style>
  <w:style w:type="paragraph" w:styleId="Piedepgina">
    <w:name w:val="footer"/>
    <w:basedOn w:val="Normal"/>
    <w:link w:val="PiedepginaCar"/>
    <w:uiPriority w:val="99"/>
    <w:unhideWhenUsed/>
    <w:rsid w:val="000E07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07AF"/>
  </w:style>
  <w:style w:type="character" w:styleId="nfasis">
    <w:name w:val="Emphasis"/>
    <w:qFormat/>
    <w:rsid w:val="000E07AF"/>
    <w:rPr>
      <w:i/>
      <w:iCs/>
    </w:rPr>
  </w:style>
  <w:style w:type="paragraph" w:styleId="Prrafodelista">
    <w:name w:val="List Paragraph"/>
    <w:basedOn w:val="Normal"/>
    <w:uiPriority w:val="34"/>
    <w:qFormat/>
    <w:rsid w:val="00D93E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446668">
      <w:bodyDiv w:val="1"/>
      <w:marLeft w:val="0"/>
      <w:marRight w:val="0"/>
      <w:marTop w:val="0"/>
      <w:marBottom w:val="0"/>
      <w:divBdr>
        <w:top w:val="none" w:sz="0" w:space="0" w:color="auto"/>
        <w:left w:val="none" w:sz="0" w:space="0" w:color="auto"/>
        <w:bottom w:val="none" w:sz="0" w:space="0" w:color="auto"/>
        <w:right w:val="none" w:sz="0" w:space="0" w:color="auto"/>
      </w:divBdr>
    </w:div>
    <w:div w:id="1669937945">
      <w:bodyDiv w:val="1"/>
      <w:marLeft w:val="0"/>
      <w:marRight w:val="0"/>
      <w:marTop w:val="0"/>
      <w:marBottom w:val="0"/>
      <w:divBdr>
        <w:top w:val="none" w:sz="0" w:space="0" w:color="auto"/>
        <w:left w:val="none" w:sz="0" w:space="0" w:color="auto"/>
        <w:bottom w:val="none" w:sz="0" w:space="0" w:color="auto"/>
        <w:right w:val="none" w:sz="0" w:space="0" w:color="auto"/>
      </w:divBdr>
    </w:div>
    <w:div w:id="1853062662">
      <w:bodyDiv w:val="1"/>
      <w:marLeft w:val="0"/>
      <w:marRight w:val="0"/>
      <w:marTop w:val="0"/>
      <w:marBottom w:val="0"/>
      <w:divBdr>
        <w:top w:val="none" w:sz="0" w:space="0" w:color="auto"/>
        <w:left w:val="none" w:sz="0" w:space="0" w:color="auto"/>
        <w:bottom w:val="none" w:sz="0" w:space="0" w:color="auto"/>
        <w:right w:val="none" w:sz="0" w:space="0" w:color="auto"/>
      </w:divBdr>
    </w:div>
    <w:div w:id="209840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ADB0E-09D7-440C-8EE2-149A4CF42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741</Words>
  <Characters>4078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Ministerio de Vivienda y Urbanismo</Company>
  <LinksUpToDate>false</LinksUpToDate>
  <CharactersWithSpaces>4810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AlcaínoVargas</dc:creator>
  <cp:lastModifiedBy>Jorge Alcaíno Vargas</cp:lastModifiedBy>
  <cp:revision>2</cp:revision>
  <dcterms:created xsi:type="dcterms:W3CDTF">2017-01-30T20:51:00Z</dcterms:created>
  <dcterms:modified xsi:type="dcterms:W3CDTF">2017-01-30T20:51:00Z</dcterms:modified>
</cp:coreProperties>
</file>